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506B" w14:textId="77777777" w:rsidR="00735CF1" w:rsidRDefault="00735CF1" w:rsidP="00D5155E">
      <w:pPr>
        <w:tabs>
          <w:tab w:val="left" w:pos="720"/>
        </w:tabs>
        <w:autoSpaceDE w:val="0"/>
        <w:autoSpaceDN w:val="0"/>
        <w:adjustRightInd w:val="0"/>
        <w:spacing w:after="0" w:line="240" w:lineRule="auto"/>
        <w:jc w:val="center"/>
        <w:rPr>
          <w:rFonts w:ascii="Calibri" w:eastAsia="Calibri" w:hAnsi="Calibri" w:cs="Calibri"/>
          <w:b/>
          <w:kern w:val="0"/>
          <w:sz w:val="36"/>
          <w:szCs w:val="36"/>
          <w14:ligatures w14:val="none"/>
        </w:rPr>
      </w:pPr>
    </w:p>
    <w:p w14:paraId="6BCCD75E" w14:textId="77777777" w:rsidR="00735CF1" w:rsidRDefault="00735CF1" w:rsidP="00D5155E">
      <w:pPr>
        <w:tabs>
          <w:tab w:val="left" w:pos="720"/>
        </w:tabs>
        <w:autoSpaceDE w:val="0"/>
        <w:autoSpaceDN w:val="0"/>
        <w:adjustRightInd w:val="0"/>
        <w:spacing w:after="0" w:line="240" w:lineRule="auto"/>
        <w:jc w:val="center"/>
        <w:rPr>
          <w:rFonts w:ascii="Calibri" w:eastAsia="Calibri" w:hAnsi="Calibri" w:cs="Calibri"/>
          <w:b/>
          <w:kern w:val="0"/>
          <w:sz w:val="36"/>
          <w:szCs w:val="36"/>
          <w14:ligatures w14:val="none"/>
        </w:rPr>
      </w:pPr>
    </w:p>
    <w:p w14:paraId="4FA7E16B" w14:textId="1C5B0B4A" w:rsidR="00D5155E" w:rsidRPr="00D5155E" w:rsidRDefault="00D5155E" w:rsidP="00D5155E">
      <w:pPr>
        <w:tabs>
          <w:tab w:val="left" w:pos="720"/>
        </w:tabs>
        <w:autoSpaceDE w:val="0"/>
        <w:autoSpaceDN w:val="0"/>
        <w:adjustRightInd w:val="0"/>
        <w:spacing w:after="0" w:line="240" w:lineRule="auto"/>
        <w:jc w:val="center"/>
        <w:rPr>
          <w:rFonts w:ascii="Calibri" w:eastAsia="Calibri" w:hAnsi="Calibri" w:cs="Calibri"/>
          <w:b/>
          <w:kern w:val="0"/>
          <w:sz w:val="40"/>
          <w:szCs w:val="40"/>
          <w14:ligatures w14:val="none"/>
        </w:rPr>
      </w:pPr>
      <w:r w:rsidRPr="00D5155E">
        <w:rPr>
          <w:rFonts w:ascii="Calibri" w:eastAsia="Calibri" w:hAnsi="Calibri" w:cs="Calibri"/>
          <w:b/>
          <w:kern w:val="0"/>
          <w:sz w:val="36"/>
          <w:szCs w:val="36"/>
          <w14:ligatures w14:val="none"/>
        </w:rPr>
        <w:t>TERMS OF REFERENCE</w:t>
      </w:r>
    </w:p>
    <w:p w14:paraId="767FA567" w14:textId="77777777" w:rsidR="00D5155E" w:rsidRPr="00D5155E" w:rsidRDefault="00D5155E" w:rsidP="00D5155E">
      <w:pPr>
        <w:tabs>
          <w:tab w:val="left" w:pos="720"/>
        </w:tabs>
        <w:autoSpaceDE w:val="0"/>
        <w:autoSpaceDN w:val="0"/>
        <w:adjustRightInd w:val="0"/>
        <w:spacing w:after="0" w:line="240" w:lineRule="auto"/>
        <w:jc w:val="center"/>
        <w:rPr>
          <w:rFonts w:ascii="Calibri" w:eastAsia="Calibri" w:hAnsi="Calibri" w:cs="Calibri"/>
          <w:b/>
          <w:kern w:val="0"/>
          <w:sz w:val="44"/>
          <w:szCs w:val="44"/>
          <w14:ligatures w14:val="none"/>
        </w:rPr>
      </w:pPr>
    </w:p>
    <w:p w14:paraId="19F950F7" w14:textId="77777777" w:rsidR="00D5155E" w:rsidRPr="00D5155E" w:rsidRDefault="00D5155E" w:rsidP="00D5155E">
      <w:pPr>
        <w:spacing w:line="259" w:lineRule="auto"/>
        <w:jc w:val="center"/>
        <w:rPr>
          <w:rFonts w:ascii="Times New Roman" w:eastAsia="Calibri" w:hAnsi="Times New Roman" w:cs="Times New Roman"/>
          <w:b/>
          <w:bCs/>
          <w:color w:val="FF0000"/>
          <w:kern w:val="0"/>
          <w:sz w:val="32"/>
          <w:szCs w:val="32"/>
          <w14:ligatures w14:val="none"/>
        </w:rPr>
      </w:pPr>
      <w:r w:rsidRPr="00D5155E">
        <w:rPr>
          <w:rFonts w:ascii="Times New Roman" w:eastAsia="Calibri" w:hAnsi="Times New Roman" w:cs="Times New Roman"/>
          <w:b/>
          <w:bCs/>
          <w:color w:val="FF0000"/>
          <w:kern w:val="0"/>
          <w:sz w:val="32"/>
          <w:szCs w:val="32"/>
          <w14:ligatures w14:val="none"/>
        </w:rPr>
        <w:t xml:space="preserve">ECHO Health &amp; Nutrition 2025-2026 </w:t>
      </w:r>
    </w:p>
    <w:p w14:paraId="0CA3C09E" w14:textId="3D4E2354" w:rsidR="00D5155E" w:rsidRPr="00D5155E" w:rsidRDefault="00EC7BAE" w:rsidP="00D5155E">
      <w:pPr>
        <w:spacing w:line="259" w:lineRule="auto"/>
        <w:jc w:val="center"/>
        <w:rPr>
          <w:rFonts w:ascii="Times New Roman" w:eastAsia="Calibri" w:hAnsi="Times New Roman" w:cs="Times New Roman"/>
          <w:b/>
          <w:bCs/>
          <w:color w:val="FF0000"/>
          <w:kern w:val="0"/>
          <w:sz w:val="36"/>
          <w:szCs w:val="36"/>
          <w14:ligatures w14:val="none"/>
        </w:rPr>
      </w:pPr>
      <w:r>
        <w:rPr>
          <w:rFonts w:ascii="Times New Roman" w:eastAsia="Calibri" w:hAnsi="Times New Roman" w:cs="Times New Roman"/>
          <w:b/>
          <w:bCs/>
          <w:color w:val="FF0000"/>
          <w:kern w:val="0"/>
          <w:sz w:val="36"/>
          <w:szCs w:val="36"/>
          <w14:ligatures w14:val="none"/>
        </w:rPr>
        <w:t>End</w:t>
      </w:r>
      <w:r w:rsidR="00D5155E" w:rsidRPr="00D5155E">
        <w:rPr>
          <w:rFonts w:ascii="Times New Roman" w:eastAsia="Calibri" w:hAnsi="Times New Roman" w:cs="Times New Roman"/>
          <w:b/>
          <w:bCs/>
          <w:color w:val="FF0000"/>
          <w:kern w:val="0"/>
          <w:sz w:val="36"/>
          <w:szCs w:val="36"/>
          <w14:ligatures w14:val="none"/>
        </w:rPr>
        <w:t xml:space="preserve">line Study </w:t>
      </w:r>
    </w:p>
    <w:p w14:paraId="01211950" w14:textId="77777777" w:rsidR="00D5155E" w:rsidRPr="00D5155E" w:rsidRDefault="00D5155E" w:rsidP="00D5155E">
      <w:pPr>
        <w:spacing w:line="259" w:lineRule="auto"/>
        <w:jc w:val="center"/>
        <w:rPr>
          <w:rFonts w:ascii="Times New Roman" w:eastAsia="Calibri" w:hAnsi="Times New Roman" w:cs="Times New Roman"/>
          <w:b/>
          <w:bCs/>
          <w:color w:val="FF0000"/>
          <w:kern w:val="0"/>
          <w:sz w:val="44"/>
          <w:szCs w:val="44"/>
          <w14:ligatures w14:val="none"/>
        </w:rPr>
      </w:pPr>
    </w:p>
    <w:p w14:paraId="6DD4B01B" w14:textId="77777777" w:rsidR="00D5155E" w:rsidRDefault="00D5155E" w:rsidP="00D5155E">
      <w:pPr>
        <w:spacing w:line="259" w:lineRule="auto"/>
        <w:jc w:val="center"/>
        <w:rPr>
          <w:rFonts w:ascii="Times New Roman" w:eastAsia="Calibri" w:hAnsi="Times New Roman" w:cs="Times New Roman"/>
          <w:b/>
          <w:bCs/>
          <w:color w:val="000000"/>
          <w:kern w:val="0"/>
          <w14:ligatures w14:val="none"/>
        </w:rPr>
      </w:pPr>
      <w:r w:rsidRPr="00D5155E">
        <w:rPr>
          <w:rFonts w:ascii="Times New Roman" w:eastAsia="Calibri" w:hAnsi="Times New Roman" w:cs="Times New Roman"/>
          <w:b/>
          <w:bCs/>
          <w:color w:val="000000"/>
          <w:kern w:val="0"/>
          <w14:ligatures w14:val="none"/>
        </w:rPr>
        <w:t>To improve access to essential healthcare and nutrition services for conflict-affected populations and provide emergency assistance in response to sudden-onset crises in Sudan</w:t>
      </w:r>
    </w:p>
    <w:p w14:paraId="1F835609" w14:textId="77777777" w:rsidR="00D54EA9" w:rsidRDefault="00D54EA9" w:rsidP="00D5155E">
      <w:pPr>
        <w:spacing w:line="259" w:lineRule="auto"/>
        <w:jc w:val="center"/>
        <w:rPr>
          <w:rFonts w:ascii="Times New Roman" w:eastAsia="Calibri" w:hAnsi="Times New Roman" w:cs="Times New Roman"/>
          <w:b/>
          <w:bCs/>
          <w:color w:val="000000"/>
          <w:kern w:val="0"/>
          <w14:ligatures w14:val="none"/>
        </w:rPr>
      </w:pPr>
    </w:p>
    <w:p w14:paraId="1374F5CC" w14:textId="77777777" w:rsidR="00D5155E" w:rsidRPr="00D5155E" w:rsidRDefault="00D5155E" w:rsidP="00D5155E">
      <w:pPr>
        <w:spacing w:line="259" w:lineRule="auto"/>
        <w:jc w:val="center"/>
        <w:rPr>
          <w:rFonts w:ascii="Times New Roman" w:eastAsia="Calibri" w:hAnsi="Times New Roman" w:cs="Times New Roman"/>
          <w:b/>
          <w:bCs/>
          <w:color w:val="FF0000"/>
          <w:kern w:val="0"/>
          <w:sz w:val="22"/>
          <w:szCs w:val="22"/>
          <w14:ligatures w14:val="none"/>
        </w:rPr>
      </w:pPr>
    </w:p>
    <w:p w14:paraId="0906470A" w14:textId="77777777" w:rsidR="00D5155E" w:rsidRPr="00D5155E" w:rsidRDefault="00D5155E" w:rsidP="00D5155E">
      <w:pPr>
        <w:spacing w:after="0" w:line="240" w:lineRule="auto"/>
        <w:jc w:val="both"/>
        <w:rPr>
          <w:rFonts w:ascii="Calibri" w:eastAsia="Calibri" w:hAnsi="Calibri" w:cs="Calibri"/>
          <w:b/>
          <w:bCs/>
          <w:kern w:val="0"/>
          <w:sz w:val="22"/>
          <w:szCs w:val="22"/>
          <w:highlight w:val="white"/>
          <w14:ligatures w14:val="none"/>
        </w:rPr>
      </w:pPr>
      <w:r w:rsidRPr="00D5155E">
        <w:rPr>
          <w:rFonts w:ascii="Calibri" w:eastAsia="Calibri" w:hAnsi="Calibri" w:cs="Calibri"/>
          <w:b/>
          <w:bCs/>
          <w:kern w:val="0"/>
          <w:sz w:val="22"/>
          <w:szCs w:val="22"/>
          <w:highlight w:val="white"/>
          <w14:ligatures w14:val="none"/>
        </w:rPr>
        <w:br w:type="page"/>
      </w:r>
    </w:p>
    <w:p w14:paraId="50DFF963" w14:textId="77777777" w:rsidR="00D5155E" w:rsidRPr="00D5155E" w:rsidRDefault="00D5155E" w:rsidP="00D5155E">
      <w:pPr>
        <w:keepNext/>
        <w:keepLines/>
        <w:spacing w:after="0" w:line="240" w:lineRule="auto"/>
        <w:ind w:left="567" w:hanging="567"/>
        <w:jc w:val="both"/>
        <w:outlineLvl w:val="0"/>
        <w:rPr>
          <w:rFonts w:ascii="Calibri" w:eastAsia="Times New Roman" w:hAnsi="Calibri" w:cs="Calibri"/>
          <w:b/>
          <w:caps/>
          <w:kern w:val="0"/>
          <w:sz w:val="22"/>
          <w:szCs w:val="22"/>
          <w:lang w:val="en-GB"/>
          <w14:ligatures w14:val="none"/>
        </w:rPr>
      </w:pPr>
    </w:p>
    <w:p w14:paraId="3B6F31FE" w14:textId="77777777" w:rsidR="00D5155E" w:rsidRPr="00D5155E" w:rsidRDefault="00D5155E" w:rsidP="00D5155E">
      <w:pPr>
        <w:keepNext/>
        <w:keepLines/>
        <w:spacing w:after="0" w:line="240" w:lineRule="auto"/>
        <w:ind w:left="567" w:hanging="567"/>
        <w:jc w:val="both"/>
        <w:outlineLvl w:val="0"/>
        <w:rPr>
          <w:rFonts w:ascii="Calibri" w:eastAsia="Times New Roman" w:hAnsi="Calibri" w:cs="Calibri"/>
          <w:b/>
          <w:caps/>
          <w:kern w:val="0"/>
          <w:sz w:val="22"/>
          <w:szCs w:val="22"/>
          <w:lang w:val="en-GB"/>
          <w14:ligatures w14:val="none"/>
        </w:rPr>
      </w:pPr>
    </w:p>
    <w:p w14:paraId="33DDADBF" w14:textId="77777777" w:rsidR="00D5155E" w:rsidRPr="00D5155E" w:rsidRDefault="00D5155E" w:rsidP="00D5155E">
      <w:pPr>
        <w:keepNext/>
        <w:keepLines/>
        <w:spacing w:after="0" w:line="240" w:lineRule="auto"/>
        <w:ind w:left="567" w:hanging="567"/>
        <w:jc w:val="both"/>
        <w:outlineLvl w:val="0"/>
        <w:rPr>
          <w:rFonts w:ascii="Calibri" w:eastAsia="Times New Roman" w:hAnsi="Calibri" w:cs="Calibri"/>
          <w:b/>
          <w:caps/>
          <w:kern w:val="0"/>
          <w:sz w:val="22"/>
          <w:szCs w:val="22"/>
          <w:lang w:val="en-GB"/>
          <w14:ligatures w14:val="none"/>
        </w:rPr>
      </w:pPr>
    </w:p>
    <w:p w14:paraId="5A5F555F" w14:textId="77777777" w:rsidR="00D5155E" w:rsidRPr="00D5155E" w:rsidRDefault="00D5155E" w:rsidP="00D5155E">
      <w:pPr>
        <w:keepNext/>
        <w:keepLines/>
        <w:spacing w:after="0" w:line="240" w:lineRule="auto"/>
        <w:ind w:left="567" w:hanging="567"/>
        <w:jc w:val="both"/>
        <w:outlineLvl w:val="0"/>
        <w:rPr>
          <w:rFonts w:ascii="Calibri" w:eastAsia="Times New Roman" w:hAnsi="Calibri" w:cs="Calibri"/>
          <w:b/>
          <w:caps/>
          <w:kern w:val="0"/>
          <w:sz w:val="22"/>
          <w:szCs w:val="22"/>
          <w:lang w:val="en-GB"/>
          <w14:ligatures w14:val="none"/>
        </w:rPr>
      </w:pPr>
      <w:r w:rsidRPr="00D5155E">
        <w:rPr>
          <w:rFonts w:ascii="Calibri" w:eastAsia="Times New Roman" w:hAnsi="Calibri" w:cs="Calibri"/>
          <w:b/>
          <w:caps/>
          <w:kern w:val="0"/>
          <w:sz w:val="22"/>
          <w:szCs w:val="22"/>
          <w:lang w:val="en-GB"/>
          <w14:ligatures w14:val="none"/>
        </w:rPr>
        <w:t xml:space="preserve">Project Summary </w:t>
      </w:r>
    </w:p>
    <w:p w14:paraId="165B0750" w14:textId="77777777" w:rsidR="00D5155E" w:rsidRPr="00D5155E" w:rsidRDefault="00D5155E" w:rsidP="00D5155E">
      <w:pPr>
        <w:spacing w:line="259" w:lineRule="auto"/>
        <w:rPr>
          <w:rFonts w:ascii="Calibri" w:eastAsia="Calibri" w:hAnsi="Calibri" w:cs="Arial"/>
          <w:kern w:val="0"/>
          <w:sz w:val="22"/>
          <w:szCs w:val="22"/>
          <w:lang w:val="en-GB"/>
          <w14:ligatures w14:val="none"/>
        </w:rPr>
      </w:pPr>
    </w:p>
    <w:tbl>
      <w:tblPr>
        <w:tblStyle w:val="PlainTable21"/>
        <w:tblW w:w="5000" w:type="pct"/>
        <w:tblLook w:val="04A0" w:firstRow="1" w:lastRow="0" w:firstColumn="1" w:lastColumn="0" w:noHBand="0" w:noVBand="1"/>
      </w:tblPr>
      <w:tblGrid>
        <w:gridCol w:w="2877"/>
        <w:gridCol w:w="6483"/>
      </w:tblGrid>
      <w:tr w:rsidR="00D5155E" w:rsidRPr="00D5155E" w14:paraId="2CDF1B8C" w14:textId="77777777" w:rsidTr="00064690">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537" w:type="pct"/>
          </w:tcPr>
          <w:p w14:paraId="3D344DD2" w14:textId="77777777" w:rsidR="00D5155E" w:rsidRPr="00D5155E" w:rsidRDefault="00D5155E" w:rsidP="00D5155E">
            <w:pPr>
              <w:jc w:val="both"/>
              <w:rPr>
                <w:rFonts w:ascii="Calibri" w:eastAsia="Calibri" w:hAnsi="Calibri" w:cs="Calibri"/>
              </w:rPr>
            </w:pPr>
            <w:r w:rsidRPr="00D5155E">
              <w:rPr>
                <w:rFonts w:ascii="Calibri" w:eastAsia="Calibri" w:hAnsi="Calibri" w:cs="Calibri"/>
              </w:rPr>
              <w:t>Type of evaluation:</w:t>
            </w:r>
          </w:p>
        </w:tc>
        <w:tc>
          <w:tcPr>
            <w:tcW w:w="3463" w:type="pct"/>
          </w:tcPr>
          <w:p w14:paraId="1A9A4F40" w14:textId="7CCFF810" w:rsidR="00D5155E" w:rsidRPr="00D5155E" w:rsidRDefault="004B00E0" w:rsidP="00D5155E">
            <w:pPr>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Times New Roman" w:eastAsia="Calibri" w:hAnsi="Times New Roman" w:cs="Times New Roman"/>
              </w:rPr>
              <w:t>End</w:t>
            </w:r>
            <w:r w:rsidR="00D5155E" w:rsidRPr="00D5155E">
              <w:rPr>
                <w:rFonts w:ascii="Times New Roman" w:eastAsia="Calibri" w:hAnsi="Times New Roman" w:cs="Times New Roman"/>
              </w:rPr>
              <w:t>line (cross-sectional, mixed-methods, KA</w:t>
            </w:r>
            <w:r w:rsidR="00D0153D">
              <w:rPr>
                <w:rFonts w:ascii="Times New Roman" w:eastAsia="Calibri" w:hAnsi="Times New Roman" w:cs="Times New Roman"/>
              </w:rPr>
              <w:t>P</w:t>
            </w:r>
            <w:r w:rsidR="00D5155E" w:rsidRPr="00D5155E">
              <w:rPr>
                <w:rFonts w:ascii="Times New Roman" w:eastAsia="Calibri" w:hAnsi="Times New Roman" w:cs="Times New Roman"/>
              </w:rPr>
              <w:t>-focused)</w:t>
            </w:r>
          </w:p>
        </w:tc>
      </w:tr>
      <w:tr w:rsidR="00D5155E" w:rsidRPr="00D5155E" w14:paraId="65B430EF" w14:textId="77777777" w:rsidTr="0006469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Pr>
          <w:p w14:paraId="0630A6C6" w14:textId="77777777" w:rsidR="00D5155E" w:rsidRPr="00D5155E" w:rsidRDefault="00D5155E" w:rsidP="00D5155E">
            <w:pPr>
              <w:jc w:val="both"/>
              <w:rPr>
                <w:rFonts w:ascii="Calibri" w:eastAsia="Calibri" w:hAnsi="Calibri" w:cs="Calibri"/>
                <w:i/>
              </w:rPr>
            </w:pPr>
            <w:r w:rsidRPr="00D5155E">
              <w:rPr>
                <w:rFonts w:ascii="Calibri" w:eastAsia="Calibri" w:hAnsi="Calibri" w:cs="Calibri"/>
              </w:rPr>
              <w:t>Name of the project:</w:t>
            </w:r>
          </w:p>
        </w:tc>
        <w:tc>
          <w:tcPr>
            <w:tcW w:w="3463" w:type="pct"/>
          </w:tcPr>
          <w:p w14:paraId="137AB666" w14:textId="77777777" w:rsidR="00D5155E" w:rsidRPr="00D5155E" w:rsidRDefault="00D5155E" w:rsidP="00D5155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5155E">
              <w:rPr>
                <w:rFonts w:ascii="Calibri" w:eastAsia="Calibri" w:hAnsi="Calibri" w:cs="Calibri"/>
              </w:rPr>
              <w:t>SDN_ECHO_H&amp;N-CM_2025-2026</w:t>
            </w:r>
          </w:p>
        </w:tc>
      </w:tr>
      <w:tr w:rsidR="00D5155E" w:rsidRPr="00D5155E" w14:paraId="687489EF" w14:textId="77777777" w:rsidTr="00064690">
        <w:trPr>
          <w:trHeight w:val="440"/>
        </w:trPr>
        <w:tc>
          <w:tcPr>
            <w:cnfStyle w:val="001000000000" w:firstRow="0" w:lastRow="0" w:firstColumn="1" w:lastColumn="0" w:oddVBand="0" w:evenVBand="0" w:oddHBand="0" w:evenHBand="0" w:firstRowFirstColumn="0" w:firstRowLastColumn="0" w:lastRowFirstColumn="0" w:lastRowLastColumn="0"/>
            <w:tcW w:w="1537" w:type="pct"/>
          </w:tcPr>
          <w:p w14:paraId="4CC61E69" w14:textId="77777777" w:rsidR="00D5155E" w:rsidRPr="00D5155E" w:rsidRDefault="00D5155E" w:rsidP="00D5155E">
            <w:pPr>
              <w:jc w:val="both"/>
              <w:rPr>
                <w:rFonts w:ascii="Calibri" w:eastAsia="Calibri" w:hAnsi="Calibri" w:cs="Calibri"/>
                <w:i/>
              </w:rPr>
            </w:pPr>
            <w:r w:rsidRPr="00D5155E">
              <w:rPr>
                <w:rFonts w:ascii="Calibri" w:eastAsia="Calibri" w:hAnsi="Calibri" w:cs="Calibri"/>
              </w:rPr>
              <w:t>Project Start and End dates:</w:t>
            </w:r>
          </w:p>
        </w:tc>
        <w:tc>
          <w:tcPr>
            <w:tcW w:w="3463" w:type="pct"/>
          </w:tcPr>
          <w:p w14:paraId="678976F6" w14:textId="77777777" w:rsidR="00D5155E" w:rsidRPr="00D5155E" w:rsidRDefault="00D5155E" w:rsidP="00D5155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5155E">
              <w:rPr>
                <w:rFonts w:ascii="Times New Roman" w:eastAsia="Calibri" w:hAnsi="Times New Roman" w:cs="Times New Roman"/>
              </w:rPr>
              <w:t>Start date: 1</w:t>
            </w:r>
            <w:r w:rsidRPr="00D5155E">
              <w:rPr>
                <w:rFonts w:ascii="Times New Roman" w:eastAsia="Calibri" w:hAnsi="Times New Roman" w:cs="Times New Roman"/>
                <w:vertAlign w:val="superscript"/>
              </w:rPr>
              <w:t>st</w:t>
            </w:r>
            <w:r w:rsidRPr="00D5155E">
              <w:rPr>
                <w:rFonts w:ascii="Times New Roman" w:eastAsia="Calibri" w:hAnsi="Times New Roman" w:cs="Times New Roman"/>
              </w:rPr>
              <w:t xml:space="preserve"> May 2025 </w:t>
            </w:r>
          </w:p>
          <w:p w14:paraId="1FA5ACE3" w14:textId="77777777" w:rsidR="00D5155E" w:rsidRPr="00D5155E" w:rsidRDefault="00D5155E" w:rsidP="00D5155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D5155E">
              <w:rPr>
                <w:rFonts w:ascii="Times New Roman" w:eastAsia="Calibri" w:hAnsi="Times New Roman" w:cs="Times New Roman"/>
              </w:rPr>
              <w:t>End date: 30</w:t>
            </w:r>
            <w:r w:rsidRPr="00D5155E">
              <w:rPr>
                <w:rFonts w:ascii="Times New Roman" w:eastAsia="Calibri" w:hAnsi="Times New Roman" w:cs="Times New Roman"/>
                <w:vertAlign w:val="superscript"/>
              </w:rPr>
              <w:t>th</w:t>
            </w:r>
            <w:r w:rsidRPr="00D5155E">
              <w:rPr>
                <w:rFonts w:ascii="Times New Roman" w:eastAsia="Calibri" w:hAnsi="Times New Roman" w:cs="Times New Roman"/>
              </w:rPr>
              <w:t xml:space="preserve"> April 2026</w:t>
            </w:r>
          </w:p>
          <w:p w14:paraId="31E63B0F" w14:textId="77777777" w:rsidR="00D5155E" w:rsidRPr="00D5155E" w:rsidRDefault="00D5155E" w:rsidP="00D5155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D5155E" w:rsidRPr="00D5155E" w14:paraId="007A9983" w14:textId="77777777" w:rsidTr="0006469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Pr>
          <w:p w14:paraId="59DC8DB5" w14:textId="77777777" w:rsidR="00D5155E" w:rsidRPr="00D5155E" w:rsidRDefault="00D5155E" w:rsidP="00D5155E">
            <w:pPr>
              <w:jc w:val="both"/>
              <w:rPr>
                <w:rFonts w:ascii="Calibri" w:eastAsia="Calibri" w:hAnsi="Calibri" w:cs="Calibri"/>
                <w:i/>
              </w:rPr>
            </w:pPr>
            <w:r w:rsidRPr="00D5155E">
              <w:rPr>
                <w:rFonts w:ascii="Calibri" w:eastAsia="Calibri" w:hAnsi="Calibri" w:cs="Calibri"/>
              </w:rPr>
              <w:t>Project duration:</w:t>
            </w:r>
          </w:p>
        </w:tc>
        <w:tc>
          <w:tcPr>
            <w:tcW w:w="3463" w:type="pct"/>
          </w:tcPr>
          <w:p w14:paraId="7D354A91" w14:textId="77777777" w:rsidR="00D5155E" w:rsidRPr="00D5155E" w:rsidRDefault="00D5155E" w:rsidP="00D5155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5155E">
              <w:rPr>
                <w:rFonts w:ascii="Times New Roman" w:eastAsia="Calibri" w:hAnsi="Times New Roman" w:cs="Times New Roman"/>
              </w:rPr>
              <w:t>11 months, 30 days</w:t>
            </w:r>
          </w:p>
        </w:tc>
      </w:tr>
      <w:tr w:rsidR="00D5155E" w:rsidRPr="00D5155E" w14:paraId="44B7DA31" w14:textId="77777777" w:rsidTr="00064690">
        <w:trPr>
          <w:trHeight w:val="400"/>
        </w:trPr>
        <w:tc>
          <w:tcPr>
            <w:cnfStyle w:val="001000000000" w:firstRow="0" w:lastRow="0" w:firstColumn="1" w:lastColumn="0" w:oddVBand="0" w:evenVBand="0" w:oddHBand="0" w:evenHBand="0" w:firstRowFirstColumn="0" w:firstRowLastColumn="0" w:lastRowFirstColumn="0" w:lastRowLastColumn="0"/>
            <w:tcW w:w="1537" w:type="pct"/>
          </w:tcPr>
          <w:p w14:paraId="7A5FDB60" w14:textId="77777777" w:rsidR="00D5155E" w:rsidRPr="00D5155E" w:rsidRDefault="00D5155E" w:rsidP="00D5155E">
            <w:pPr>
              <w:jc w:val="both"/>
              <w:rPr>
                <w:rFonts w:ascii="Calibri" w:eastAsia="Calibri" w:hAnsi="Calibri" w:cs="Calibri"/>
                <w:i/>
              </w:rPr>
            </w:pPr>
            <w:r w:rsidRPr="00D5155E">
              <w:rPr>
                <w:rFonts w:ascii="Calibri" w:eastAsia="Calibri" w:hAnsi="Calibri" w:cs="Calibri"/>
              </w:rPr>
              <w:t>Project locations:</w:t>
            </w:r>
          </w:p>
        </w:tc>
        <w:tc>
          <w:tcPr>
            <w:tcW w:w="3463" w:type="pct"/>
          </w:tcPr>
          <w:p w14:paraId="4A6FF932" w14:textId="4271B2A8" w:rsidR="00D5155E" w:rsidRPr="00D5155E" w:rsidRDefault="00D5155E" w:rsidP="00D5155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D5155E">
              <w:rPr>
                <w:rFonts w:ascii="Calibri" w:eastAsia="Calibri" w:hAnsi="Calibri" w:cs="Calibri"/>
              </w:rPr>
              <w:t xml:space="preserve">Sudan: </w:t>
            </w:r>
            <w:r w:rsidRPr="00D5155E">
              <w:rPr>
                <w:rFonts w:ascii="Times New Roman" w:eastAsia="Calibri" w:hAnsi="Times New Roman" w:cs="Times New Roman"/>
              </w:rPr>
              <w:t xml:space="preserve">North Darfur </w:t>
            </w:r>
            <w:r w:rsidR="00D0153D" w:rsidRPr="00D5155E">
              <w:rPr>
                <w:rFonts w:ascii="Times New Roman" w:eastAsia="Calibri" w:hAnsi="Times New Roman" w:cs="Times New Roman"/>
              </w:rPr>
              <w:t>(Tawila</w:t>
            </w:r>
            <w:r w:rsidRPr="00D5155E">
              <w:rPr>
                <w:rFonts w:ascii="Times New Roman" w:eastAsia="Calibri" w:hAnsi="Times New Roman" w:cs="Times New Roman"/>
              </w:rPr>
              <w:t>), Khartoum (Omdurman)</w:t>
            </w:r>
          </w:p>
        </w:tc>
      </w:tr>
      <w:tr w:rsidR="00D5155E" w:rsidRPr="00D5155E" w14:paraId="0E37284F" w14:textId="77777777" w:rsidTr="0006469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Pr>
          <w:p w14:paraId="5C3A5A46" w14:textId="77777777" w:rsidR="00D5155E" w:rsidRPr="00D5155E" w:rsidRDefault="00D5155E" w:rsidP="00D5155E">
            <w:pPr>
              <w:jc w:val="both"/>
              <w:rPr>
                <w:rFonts w:ascii="Calibri" w:eastAsia="Calibri" w:hAnsi="Calibri" w:cs="Calibri"/>
                <w:i/>
              </w:rPr>
            </w:pPr>
            <w:r w:rsidRPr="00D5155E">
              <w:rPr>
                <w:rFonts w:ascii="Calibri" w:eastAsia="Calibri" w:hAnsi="Calibri" w:cs="Calibri"/>
              </w:rPr>
              <w:t>Thematic areas:</w:t>
            </w:r>
          </w:p>
        </w:tc>
        <w:tc>
          <w:tcPr>
            <w:tcW w:w="3463" w:type="pct"/>
          </w:tcPr>
          <w:p w14:paraId="45A60C6A" w14:textId="77777777" w:rsidR="00D5155E" w:rsidRPr="00D5155E" w:rsidRDefault="00D5155E" w:rsidP="00D5155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5155E">
              <w:rPr>
                <w:rFonts w:ascii="Times New Roman" w:eastAsia="Calibri" w:hAnsi="Times New Roman" w:cs="Times New Roman"/>
              </w:rPr>
              <w:t>Health, Nutrition, GBV (medical response), DRR/CM</w:t>
            </w:r>
          </w:p>
        </w:tc>
      </w:tr>
      <w:tr w:rsidR="00D5155E" w:rsidRPr="00D5155E" w14:paraId="241FF8AE" w14:textId="77777777" w:rsidTr="00064690">
        <w:trPr>
          <w:trHeight w:val="379"/>
        </w:trPr>
        <w:tc>
          <w:tcPr>
            <w:cnfStyle w:val="001000000000" w:firstRow="0" w:lastRow="0" w:firstColumn="1" w:lastColumn="0" w:oddVBand="0" w:evenVBand="0" w:oddHBand="0" w:evenHBand="0" w:firstRowFirstColumn="0" w:firstRowLastColumn="0" w:lastRowFirstColumn="0" w:lastRowLastColumn="0"/>
            <w:tcW w:w="1537" w:type="pct"/>
          </w:tcPr>
          <w:p w14:paraId="75122474" w14:textId="77777777" w:rsidR="00D5155E" w:rsidRPr="00D5155E" w:rsidRDefault="00D5155E" w:rsidP="00D5155E">
            <w:pPr>
              <w:jc w:val="both"/>
              <w:rPr>
                <w:rFonts w:ascii="Calibri" w:eastAsia="Calibri" w:hAnsi="Calibri" w:cs="Calibri"/>
                <w:i/>
              </w:rPr>
            </w:pPr>
            <w:r w:rsidRPr="00D5155E">
              <w:rPr>
                <w:rFonts w:ascii="Calibri" w:eastAsia="Calibri" w:hAnsi="Calibri" w:cs="Calibri"/>
              </w:rPr>
              <w:t>Donor:</w:t>
            </w:r>
          </w:p>
        </w:tc>
        <w:tc>
          <w:tcPr>
            <w:tcW w:w="3463" w:type="pct"/>
          </w:tcPr>
          <w:p w14:paraId="540D7A77" w14:textId="77777777" w:rsidR="00D5155E" w:rsidRPr="00D5155E" w:rsidRDefault="00D5155E" w:rsidP="00D5155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D5155E">
              <w:rPr>
                <w:rFonts w:ascii="Calibri" w:eastAsia="Calibri" w:hAnsi="Calibri" w:cs="Calibri"/>
              </w:rPr>
              <w:t>ECHO</w:t>
            </w:r>
          </w:p>
        </w:tc>
      </w:tr>
      <w:tr w:rsidR="00D5155E" w:rsidRPr="00D5155E" w14:paraId="54163A51" w14:textId="77777777" w:rsidTr="0006469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37" w:type="pct"/>
            <w:tcBorders>
              <w:bottom w:val="nil"/>
            </w:tcBorders>
          </w:tcPr>
          <w:p w14:paraId="7993EFB1" w14:textId="77777777" w:rsidR="00D5155E" w:rsidRPr="00D5155E" w:rsidRDefault="00D5155E" w:rsidP="00D5155E">
            <w:pPr>
              <w:jc w:val="both"/>
              <w:rPr>
                <w:rFonts w:ascii="Calibri" w:eastAsia="Calibri" w:hAnsi="Calibri" w:cs="Calibri"/>
              </w:rPr>
            </w:pPr>
            <w:r w:rsidRPr="00D5155E">
              <w:rPr>
                <w:rFonts w:ascii="Calibri" w:eastAsia="Calibri" w:hAnsi="Calibri" w:cs="Calibri"/>
              </w:rPr>
              <w:t xml:space="preserve">Key stakeholders </w:t>
            </w:r>
          </w:p>
        </w:tc>
        <w:tc>
          <w:tcPr>
            <w:tcW w:w="3463" w:type="pct"/>
            <w:tcBorders>
              <w:bottom w:val="nil"/>
            </w:tcBorders>
          </w:tcPr>
          <w:p w14:paraId="3B5F5A41" w14:textId="77777777" w:rsidR="00D5155E" w:rsidRPr="00D5155E" w:rsidRDefault="00D5155E" w:rsidP="00D5155E">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5155E">
              <w:rPr>
                <w:rFonts w:ascii="Times New Roman" w:eastAsia="Calibri" w:hAnsi="Times New Roman" w:cs="Times New Roman"/>
              </w:rPr>
              <w:t>Local partner: APDHWO/ MOH</w:t>
            </w:r>
          </w:p>
        </w:tc>
      </w:tr>
      <w:tr w:rsidR="00D5155E" w:rsidRPr="00D5155E" w14:paraId="446401FB" w14:textId="77777777" w:rsidTr="00064690">
        <w:trPr>
          <w:trHeight w:val="379"/>
        </w:trPr>
        <w:tc>
          <w:tcPr>
            <w:cnfStyle w:val="001000000000" w:firstRow="0" w:lastRow="0" w:firstColumn="1" w:lastColumn="0" w:oddVBand="0" w:evenVBand="0" w:oddHBand="0" w:evenHBand="0" w:firstRowFirstColumn="0" w:firstRowLastColumn="0" w:lastRowFirstColumn="0" w:lastRowLastColumn="0"/>
            <w:tcW w:w="1537" w:type="pct"/>
            <w:tcBorders>
              <w:top w:val="nil"/>
              <w:bottom w:val="nil"/>
            </w:tcBorders>
          </w:tcPr>
          <w:p w14:paraId="73C812EF" w14:textId="77777777" w:rsidR="00D5155E" w:rsidRPr="00D5155E" w:rsidRDefault="00D5155E" w:rsidP="00D5155E">
            <w:pPr>
              <w:jc w:val="both"/>
              <w:rPr>
                <w:rFonts w:ascii="Calibri" w:eastAsia="Calibri" w:hAnsi="Calibri" w:cs="Calibri"/>
              </w:rPr>
            </w:pPr>
          </w:p>
        </w:tc>
        <w:tc>
          <w:tcPr>
            <w:tcW w:w="3463" w:type="pct"/>
            <w:tcBorders>
              <w:top w:val="nil"/>
              <w:bottom w:val="nil"/>
            </w:tcBorders>
          </w:tcPr>
          <w:p w14:paraId="5D8B4F09" w14:textId="77777777" w:rsidR="00D5155E" w:rsidRPr="00D5155E" w:rsidRDefault="00D5155E" w:rsidP="00D5155E">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D5155E" w:rsidRPr="00D5155E" w14:paraId="7BDF2593" w14:textId="77777777" w:rsidTr="00064690">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537" w:type="pct"/>
          </w:tcPr>
          <w:p w14:paraId="4BACE1BC" w14:textId="77777777" w:rsidR="00D5155E" w:rsidRPr="00D5155E" w:rsidRDefault="00D5155E" w:rsidP="00D5155E">
            <w:pPr>
              <w:jc w:val="both"/>
              <w:rPr>
                <w:rFonts w:ascii="Calibri" w:eastAsia="Calibri" w:hAnsi="Calibri" w:cs="Calibri"/>
                <w:i/>
              </w:rPr>
            </w:pPr>
            <w:r w:rsidRPr="00D5155E">
              <w:rPr>
                <w:rFonts w:ascii="Calibri" w:eastAsia="Calibri" w:hAnsi="Calibri" w:cs="Calibri"/>
              </w:rPr>
              <w:t>Overall objective of the project:</w:t>
            </w:r>
          </w:p>
        </w:tc>
        <w:tc>
          <w:tcPr>
            <w:tcW w:w="3463" w:type="pct"/>
          </w:tcPr>
          <w:p w14:paraId="425CC42F" w14:textId="77777777" w:rsidR="00D5155E" w:rsidRPr="00D5155E" w:rsidRDefault="00D5155E" w:rsidP="00D5155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D5155E">
              <w:rPr>
                <w:rFonts w:ascii="Times New Roman" w:eastAsia="Calibri" w:hAnsi="Times New Roman" w:cs="Times New Roman"/>
              </w:rPr>
              <w:t>Reduce M/NCH morbidity &amp; mortality; treat/prevent acute malnutrition; enable rapid crisis response</w:t>
            </w:r>
          </w:p>
        </w:tc>
      </w:tr>
    </w:tbl>
    <w:p w14:paraId="3AB164D3" w14:textId="77777777" w:rsidR="00D5155E" w:rsidRPr="00D5155E" w:rsidRDefault="00D5155E" w:rsidP="00D5155E">
      <w:pPr>
        <w:spacing w:after="0" w:line="240" w:lineRule="auto"/>
        <w:jc w:val="both"/>
        <w:rPr>
          <w:rFonts w:ascii="Calibri" w:eastAsia="Calibri" w:hAnsi="Calibri" w:cs="Calibri"/>
          <w:b/>
          <w:bCs/>
          <w:kern w:val="0"/>
          <w:sz w:val="22"/>
          <w:szCs w:val="22"/>
          <w:highlight w:val="white"/>
          <w14:ligatures w14:val="none"/>
        </w:rPr>
      </w:pPr>
    </w:p>
    <w:p w14:paraId="4275C633" w14:textId="77777777" w:rsidR="00D5155E" w:rsidRPr="00D5155E" w:rsidRDefault="00D5155E" w:rsidP="00D5155E">
      <w:pPr>
        <w:spacing w:after="0" w:line="240" w:lineRule="auto"/>
        <w:jc w:val="both"/>
        <w:rPr>
          <w:rFonts w:ascii="Calibri" w:eastAsia="Calibri" w:hAnsi="Calibri" w:cs="Calibri"/>
          <w:b/>
          <w:bCs/>
          <w:kern w:val="0"/>
          <w:sz w:val="22"/>
          <w:szCs w:val="22"/>
          <w:highlight w:val="white"/>
          <w14:ligatures w14:val="none"/>
        </w:rPr>
      </w:pPr>
      <w:r w:rsidRPr="00D5155E">
        <w:rPr>
          <w:rFonts w:ascii="Calibri" w:eastAsia="Calibri" w:hAnsi="Calibri" w:cs="Calibri"/>
          <w:b/>
          <w:bCs/>
          <w:kern w:val="0"/>
          <w:sz w:val="22"/>
          <w:szCs w:val="22"/>
          <w:highlight w:val="white"/>
          <w14:ligatures w14:val="none"/>
        </w:rPr>
        <w:br w:type="page"/>
      </w:r>
    </w:p>
    <w:p w14:paraId="4210E737" w14:textId="4B74867E" w:rsidR="00592BAC" w:rsidRPr="00592BAC" w:rsidRDefault="00592BAC" w:rsidP="00592BAC">
      <w:pPr>
        <w:spacing w:after="0" w:line="360" w:lineRule="auto"/>
        <w:rPr>
          <w:rFonts w:asciiTheme="majorBidi" w:hAnsiTheme="majorBidi" w:cstheme="majorBidi"/>
        </w:rPr>
      </w:pPr>
    </w:p>
    <w:p w14:paraId="56744471" w14:textId="0EF7BDF7" w:rsidR="00613641" w:rsidRPr="00613641" w:rsidRDefault="00613641" w:rsidP="00613641">
      <w:pPr>
        <w:pStyle w:val="ListParagraph"/>
        <w:numPr>
          <w:ilvl w:val="0"/>
          <w:numId w:val="32"/>
        </w:numPr>
        <w:spacing w:after="0" w:line="360" w:lineRule="auto"/>
        <w:rPr>
          <w:rFonts w:asciiTheme="majorBidi" w:hAnsiTheme="majorBidi" w:cstheme="majorBidi"/>
          <w:b/>
        </w:rPr>
      </w:pPr>
      <w:r w:rsidRPr="00613641">
        <w:rPr>
          <w:rFonts w:asciiTheme="majorBidi" w:hAnsiTheme="majorBidi" w:cstheme="majorBidi"/>
          <w:b/>
        </w:rPr>
        <w:t>Background</w:t>
      </w:r>
    </w:p>
    <w:p w14:paraId="457281AF" w14:textId="66FCAAAE" w:rsidR="00613641" w:rsidRPr="00613641" w:rsidRDefault="00613641" w:rsidP="00613641">
      <w:pPr>
        <w:pStyle w:val="ListParagraph"/>
        <w:numPr>
          <w:ilvl w:val="1"/>
          <w:numId w:val="32"/>
        </w:numPr>
        <w:spacing w:after="0" w:line="360" w:lineRule="auto"/>
        <w:rPr>
          <w:rFonts w:asciiTheme="majorBidi" w:hAnsiTheme="majorBidi" w:cstheme="majorBidi"/>
          <w:b/>
        </w:rPr>
      </w:pPr>
      <w:r w:rsidRPr="00613641">
        <w:rPr>
          <w:rFonts w:asciiTheme="majorBidi" w:hAnsiTheme="majorBidi" w:cstheme="majorBidi"/>
          <w:b/>
        </w:rPr>
        <w:t>Context information:</w:t>
      </w:r>
    </w:p>
    <w:p w14:paraId="54E60039" w14:textId="77777777" w:rsidR="00613641" w:rsidRPr="00613641" w:rsidRDefault="00613641" w:rsidP="00613641">
      <w:pPr>
        <w:spacing w:after="0" w:line="360" w:lineRule="auto"/>
        <w:jc w:val="both"/>
        <w:rPr>
          <w:rFonts w:asciiTheme="majorBidi" w:hAnsiTheme="majorBidi" w:cstheme="majorBidi"/>
          <w:bCs/>
        </w:rPr>
      </w:pPr>
      <w:r w:rsidRPr="00613641">
        <w:rPr>
          <w:rFonts w:asciiTheme="majorBidi" w:hAnsiTheme="majorBidi" w:cstheme="majorBidi"/>
          <w:bCs/>
        </w:rPr>
        <w:t>Sudan continues to face severe and compounding humanitarian and development challenges following the outbreak of conflict in April 2023 between the Sudanese Armed Forces (SAF) and the Rapid Support Forces (RSF). The escalation of violence has resulted in widespread civilian harm, large-scale displacement, and the collapse or disruption of essential public services. More than 10 million people have been displaced, while millions more experience restricted access to food, water, health care, cash, and basic social services.</w:t>
      </w:r>
    </w:p>
    <w:p w14:paraId="16A368E5" w14:textId="77777777" w:rsidR="00613641" w:rsidRPr="00613641" w:rsidRDefault="00613641" w:rsidP="00613641">
      <w:pPr>
        <w:spacing w:after="0" w:line="360" w:lineRule="auto"/>
        <w:jc w:val="both"/>
        <w:rPr>
          <w:rFonts w:asciiTheme="majorBidi" w:hAnsiTheme="majorBidi" w:cstheme="majorBidi"/>
          <w:bCs/>
        </w:rPr>
      </w:pPr>
      <w:r w:rsidRPr="00613641">
        <w:rPr>
          <w:rFonts w:asciiTheme="majorBidi" w:hAnsiTheme="majorBidi" w:cstheme="majorBidi"/>
          <w:bCs/>
        </w:rPr>
        <w:t>In response to these needs, Save the Children (SC), in partnership with Anhar for Peace, Development and Humanitarian Work Organization (APDHWO), has been implementing an integrated health and nutrition project targeting conflict-affected, displaced, and highly vulnerable communities, including IDPs, refugees, and host populations, in North Darfur (Tawila locality) and Khartoum (Omdurman). The project aims to enhance equitable access to inclusive, gender-sensitive, and high-quality primary health care (PHC) and nutrition services through a community-</w:t>
      </w:r>
      <w:proofErr w:type="spellStart"/>
      <w:r w:rsidRPr="00613641">
        <w:rPr>
          <w:rFonts w:asciiTheme="majorBidi" w:hAnsiTheme="majorBidi" w:cstheme="majorBidi"/>
          <w:bCs/>
        </w:rPr>
        <w:t>centred</w:t>
      </w:r>
      <w:proofErr w:type="spellEnd"/>
      <w:r w:rsidRPr="00613641">
        <w:rPr>
          <w:rFonts w:asciiTheme="majorBidi" w:hAnsiTheme="majorBidi" w:cstheme="majorBidi"/>
          <w:bCs/>
        </w:rPr>
        <w:t xml:space="preserve"> approach.</w:t>
      </w:r>
    </w:p>
    <w:p w14:paraId="15FBD909" w14:textId="77777777" w:rsidR="00613641" w:rsidRPr="00613641" w:rsidRDefault="00613641" w:rsidP="00613641">
      <w:pPr>
        <w:spacing w:after="0" w:line="360" w:lineRule="auto"/>
        <w:jc w:val="both"/>
        <w:rPr>
          <w:rFonts w:asciiTheme="majorBidi" w:hAnsiTheme="majorBidi" w:cstheme="majorBidi"/>
          <w:bCs/>
        </w:rPr>
      </w:pPr>
      <w:r w:rsidRPr="00613641">
        <w:rPr>
          <w:rFonts w:asciiTheme="majorBidi" w:hAnsiTheme="majorBidi" w:cstheme="majorBidi"/>
          <w:bCs/>
        </w:rPr>
        <w:t xml:space="preserve">The Action supports five health facilities (three in North Darfur and two in Khartoum) to deliver lifesaving services for women of reproductive age, particularly pregnant and lactating women (PLW), and children under five. Interventions include maternal and child health care, strengthened immunization systems, consistent availability of essential medicines, and functional referral pathways. Nutrition services are delivered through the Community-Based Management of Acute Malnutrition (CMAM) model, including Outpatient Therapeutic Programs (OTP), Targeted Supplementary Feeding Programs (TSFP), and Infant and Young Child Feeding in Emergencies (IYCF-E) counselling across community, PHC, and stabilization </w:t>
      </w:r>
      <w:proofErr w:type="spellStart"/>
      <w:r w:rsidRPr="00613641">
        <w:rPr>
          <w:rFonts w:asciiTheme="majorBidi" w:hAnsiTheme="majorBidi" w:cstheme="majorBidi"/>
          <w:bCs/>
        </w:rPr>
        <w:t>centre</w:t>
      </w:r>
      <w:proofErr w:type="spellEnd"/>
      <w:r w:rsidRPr="00613641">
        <w:rPr>
          <w:rFonts w:asciiTheme="majorBidi" w:hAnsiTheme="majorBidi" w:cstheme="majorBidi"/>
          <w:bCs/>
        </w:rPr>
        <w:t xml:space="preserve"> levels.</w:t>
      </w:r>
    </w:p>
    <w:p w14:paraId="79C1D873" w14:textId="77777777" w:rsidR="00613641" w:rsidRDefault="00613641" w:rsidP="00613641">
      <w:pPr>
        <w:spacing w:after="0" w:line="360" w:lineRule="auto"/>
        <w:jc w:val="both"/>
        <w:rPr>
          <w:rFonts w:asciiTheme="majorBidi" w:hAnsiTheme="majorBidi" w:cstheme="majorBidi"/>
          <w:b/>
        </w:rPr>
      </w:pPr>
      <w:r w:rsidRPr="00613641">
        <w:rPr>
          <w:rFonts w:asciiTheme="majorBidi" w:hAnsiTheme="majorBidi" w:cstheme="majorBidi"/>
          <w:bCs/>
        </w:rPr>
        <w:t xml:space="preserve">The project also seeks to transform community norms and </w:t>
      </w:r>
      <w:proofErr w:type="spellStart"/>
      <w:r w:rsidRPr="00613641">
        <w:rPr>
          <w:rFonts w:asciiTheme="majorBidi" w:hAnsiTheme="majorBidi" w:cstheme="majorBidi"/>
          <w:bCs/>
        </w:rPr>
        <w:t>behaviours</w:t>
      </w:r>
      <w:proofErr w:type="spellEnd"/>
      <w:r w:rsidRPr="00613641">
        <w:rPr>
          <w:rFonts w:asciiTheme="majorBidi" w:hAnsiTheme="majorBidi" w:cstheme="majorBidi"/>
          <w:bCs/>
        </w:rPr>
        <w:t xml:space="preserve"> through </w:t>
      </w:r>
      <w:proofErr w:type="spellStart"/>
      <w:r w:rsidRPr="00613641">
        <w:rPr>
          <w:rFonts w:asciiTheme="majorBidi" w:hAnsiTheme="majorBidi" w:cstheme="majorBidi"/>
          <w:bCs/>
        </w:rPr>
        <w:t>behaviour</w:t>
      </w:r>
      <w:proofErr w:type="spellEnd"/>
      <w:r w:rsidRPr="00613641">
        <w:rPr>
          <w:rFonts w:asciiTheme="majorBidi" w:hAnsiTheme="majorBidi" w:cstheme="majorBidi"/>
          <w:bCs/>
        </w:rPr>
        <w:t xml:space="preserve"> change communication (BCC), while strengthening the capacity of local health teams (LHTs), healthcare providers, and Community Nutrition Volunteers (CNVs). The Action incorporates a Crisis Modifier mechanism to enable early response to verified alerts and tailor interventions to evolving needs, vulnerabilities, and contextual constraints</w:t>
      </w:r>
      <w:r w:rsidRPr="00613641">
        <w:rPr>
          <w:rFonts w:asciiTheme="majorBidi" w:hAnsiTheme="majorBidi" w:cstheme="majorBidi"/>
          <w:b/>
        </w:rPr>
        <w:t>.</w:t>
      </w:r>
    </w:p>
    <w:p w14:paraId="1CA32A2C" w14:textId="77777777" w:rsidR="00C91FB9" w:rsidRPr="00613641" w:rsidRDefault="00C91FB9" w:rsidP="00613641">
      <w:pPr>
        <w:spacing w:after="0" w:line="360" w:lineRule="auto"/>
        <w:jc w:val="both"/>
        <w:rPr>
          <w:rFonts w:asciiTheme="majorBidi" w:hAnsiTheme="majorBidi" w:cstheme="majorBidi"/>
          <w:b/>
        </w:rPr>
      </w:pPr>
    </w:p>
    <w:p w14:paraId="4A9F9102" w14:textId="77777777" w:rsidR="00613641" w:rsidRDefault="00613641" w:rsidP="00613641">
      <w:pPr>
        <w:spacing w:after="0" w:line="360" w:lineRule="auto"/>
        <w:rPr>
          <w:rFonts w:asciiTheme="majorBidi" w:hAnsiTheme="majorBidi" w:cstheme="majorBidi"/>
          <w:b/>
        </w:rPr>
      </w:pPr>
    </w:p>
    <w:p w14:paraId="1C99BE19" w14:textId="714B949A" w:rsidR="00613641" w:rsidRPr="00613641" w:rsidRDefault="00613641" w:rsidP="00613641">
      <w:pPr>
        <w:pStyle w:val="ListParagraph"/>
        <w:numPr>
          <w:ilvl w:val="0"/>
          <w:numId w:val="32"/>
        </w:numPr>
        <w:spacing w:after="0" w:line="360" w:lineRule="auto"/>
        <w:jc w:val="both"/>
        <w:rPr>
          <w:rFonts w:asciiTheme="majorBidi" w:hAnsiTheme="majorBidi" w:cstheme="majorBidi"/>
          <w:b/>
        </w:rPr>
      </w:pPr>
      <w:r w:rsidRPr="00613641">
        <w:rPr>
          <w:rFonts w:asciiTheme="majorBidi" w:hAnsiTheme="majorBidi" w:cstheme="majorBidi"/>
          <w:b/>
        </w:rPr>
        <w:lastRenderedPageBreak/>
        <w:t>Purpose of the Endline Study</w:t>
      </w:r>
    </w:p>
    <w:p w14:paraId="511E848C" w14:textId="77777777" w:rsidR="00613641" w:rsidRPr="00613641" w:rsidRDefault="00613641" w:rsidP="00613641">
      <w:pPr>
        <w:spacing w:after="0" w:line="360" w:lineRule="auto"/>
        <w:jc w:val="both"/>
        <w:rPr>
          <w:rFonts w:asciiTheme="majorBidi" w:hAnsiTheme="majorBidi" w:cstheme="majorBidi"/>
          <w:bCs/>
        </w:rPr>
      </w:pPr>
      <w:r w:rsidRPr="00613641">
        <w:rPr>
          <w:rFonts w:asciiTheme="majorBidi" w:hAnsiTheme="majorBidi" w:cstheme="majorBidi"/>
          <w:bCs/>
        </w:rPr>
        <w:t>The overall purpose of the endline study is to assess project performance, outcomes, and emerging contribution to improved access, utilization, quality, and equity of health and nutrition services in the target locations. The endline will compare final values with baseline findings, routine monitoring data, and project targets, while generating evidence on effectiveness, relevance, inclusion, accountability, sustainability, and lessons learned. Specifically, the study aims to:</w:t>
      </w:r>
    </w:p>
    <w:p w14:paraId="1ACFC2EE" w14:textId="4A542905" w:rsidR="00613641" w:rsidRPr="00613641" w:rsidRDefault="00613641" w:rsidP="00613641">
      <w:pPr>
        <w:pStyle w:val="ListParagraph"/>
        <w:numPr>
          <w:ilvl w:val="0"/>
          <w:numId w:val="33"/>
        </w:numPr>
        <w:spacing w:after="0" w:line="360" w:lineRule="auto"/>
        <w:jc w:val="both"/>
        <w:rPr>
          <w:rFonts w:asciiTheme="majorBidi" w:hAnsiTheme="majorBidi" w:cstheme="majorBidi"/>
          <w:bCs/>
        </w:rPr>
      </w:pPr>
      <w:r w:rsidRPr="00613641">
        <w:rPr>
          <w:rFonts w:asciiTheme="majorBidi" w:hAnsiTheme="majorBidi" w:cstheme="majorBidi"/>
          <w:bCs/>
        </w:rPr>
        <w:t>Establish endline values and compare progress: Measure endline values for key performance indicators across the Health, Nutrition, and Crisis Modifier result areas and compare them with baseline values and project targets, disaggregated by state, sex, age, disability, and population group where feasible.</w:t>
      </w:r>
    </w:p>
    <w:p w14:paraId="2F75F6A9" w14:textId="57BA12F3" w:rsidR="00613641" w:rsidRPr="00613641" w:rsidRDefault="00613641" w:rsidP="00613641">
      <w:pPr>
        <w:pStyle w:val="ListParagraph"/>
        <w:numPr>
          <w:ilvl w:val="0"/>
          <w:numId w:val="33"/>
        </w:numPr>
        <w:spacing w:after="0" w:line="360" w:lineRule="auto"/>
        <w:jc w:val="both"/>
        <w:rPr>
          <w:rFonts w:asciiTheme="majorBidi" w:hAnsiTheme="majorBidi" w:cstheme="majorBidi"/>
          <w:bCs/>
        </w:rPr>
      </w:pPr>
      <w:r w:rsidRPr="00613641">
        <w:rPr>
          <w:rFonts w:asciiTheme="majorBidi" w:hAnsiTheme="majorBidi" w:cstheme="majorBidi"/>
          <w:bCs/>
        </w:rPr>
        <w:t xml:space="preserve">Assess changes in Knowledge, Attitudes, and Practices (KAP): Examine changes in community-level KAP related to maternal and newborn health, sexual and reproductive health (SRH), child health, GBV response, and nutrition practices (IYCF-E and CMAM), and assess the extent to which BCC and community engagement approaches contributed to improved </w:t>
      </w:r>
      <w:proofErr w:type="spellStart"/>
      <w:r w:rsidRPr="00613641">
        <w:rPr>
          <w:rFonts w:asciiTheme="majorBidi" w:hAnsiTheme="majorBidi" w:cstheme="majorBidi"/>
          <w:bCs/>
        </w:rPr>
        <w:t>behaviours</w:t>
      </w:r>
      <w:proofErr w:type="spellEnd"/>
      <w:r w:rsidRPr="00613641">
        <w:rPr>
          <w:rFonts w:asciiTheme="majorBidi" w:hAnsiTheme="majorBidi" w:cstheme="majorBidi"/>
          <w:bCs/>
        </w:rPr>
        <w:t>.</w:t>
      </w:r>
    </w:p>
    <w:p w14:paraId="5B846ED6" w14:textId="10223682" w:rsidR="00613641" w:rsidRPr="00613641" w:rsidRDefault="00613641" w:rsidP="00613641">
      <w:pPr>
        <w:pStyle w:val="ListParagraph"/>
        <w:numPr>
          <w:ilvl w:val="0"/>
          <w:numId w:val="33"/>
        </w:numPr>
        <w:spacing w:after="0" w:line="360" w:lineRule="auto"/>
        <w:jc w:val="both"/>
        <w:rPr>
          <w:rFonts w:asciiTheme="majorBidi" w:hAnsiTheme="majorBidi" w:cstheme="majorBidi"/>
          <w:bCs/>
        </w:rPr>
      </w:pPr>
      <w:r w:rsidRPr="00613641">
        <w:rPr>
          <w:rFonts w:asciiTheme="majorBidi" w:hAnsiTheme="majorBidi" w:cstheme="majorBidi"/>
          <w:bCs/>
        </w:rPr>
        <w:t>Assess access, quality, equity, and service readiness: Examine changes in service availability, accessibility, acceptability, quality, and equity across project-supported facilities, including whether women, adolescents, persons with disabilities, IDPs/refugees, and host communities were reached equitably.</w:t>
      </w:r>
    </w:p>
    <w:p w14:paraId="029CDF7D" w14:textId="5262A67E" w:rsidR="00613641" w:rsidRDefault="00613641" w:rsidP="00613641">
      <w:pPr>
        <w:pStyle w:val="ListParagraph"/>
        <w:numPr>
          <w:ilvl w:val="0"/>
          <w:numId w:val="33"/>
        </w:numPr>
        <w:spacing w:after="0" w:line="360" w:lineRule="auto"/>
        <w:jc w:val="both"/>
        <w:rPr>
          <w:rFonts w:asciiTheme="majorBidi" w:hAnsiTheme="majorBidi" w:cstheme="majorBidi"/>
          <w:bCs/>
        </w:rPr>
      </w:pPr>
      <w:r w:rsidRPr="00613641">
        <w:rPr>
          <w:rFonts w:asciiTheme="majorBidi" w:hAnsiTheme="majorBidi" w:cstheme="majorBidi"/>
          <w:bCs/>
        </w:rPr>
        <w:t>Generate learning and accountability evidence: Document lessons learned, unintended effects, community perceptions, AAP performance, and actionable recommendations to inform future health and nutrition programming in similar conflict-affected settings.</w:t>
      </w:r>
    </w:p>
    <w:p w14:paraId="159BBB7E" w14:textId="77777777" w:rsidR="00C91FB9" w:rsidRPr="00613641" w:rsidRDefault="00C91FB9" w:rsidP="00C91FB9">
      <w:pPr>
        <w:pStyle w:val="ListParagraph"/>
        <w:spacing w:after="0" w:line="360" w:lineRule="auto"/>
        <w:jc w:val="both"/>
        <w:rPr>
          <w:rFonts w:asciiTheme="majorBidi" w:hAnsiTheme="majorBidi" w:cstheme="majorBidi"/>
          <w:bCs/>
        </w:rPr>
      </w:pPr>
    </w:p>
    <w:p w14:paraId="5736666C"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II. Study Methodology</w:t>
      </w:r>
    </w:p>
    <w:p w14:paraId="5D0416ED" w14:textId="77777777" w:rsidR="00613641" w:rsidRDefault="00613641" w:rsidP="00E3654E">
      <w:pPr>
        <w:spacing w:after="0" w:line="360" w:lineRule="auto"/>
        <w:jc w:val="both"/>
        <w:rPr>
          <w:rFonts w:asciiTheme="majorBidi" w:hAnsiTheme="majorBidi" w:cstheme="majorBidi"/>
          <w:bCs/>
        </w:rPr>
      </w:pPr>
      <w:r w:rsidRPr="00613641">
        <w:rPr>
          <w:rFonts w:asciiTheme="majorBidi" w:hAnsiTheme="majorBidi" w:cstheme="majorBidi"/>
          <w:bCs/>
        </w:rPr>
        <w:t>The endline will apply a cross-sectional, mixed-methods design, integrating quantitative and qualitative approaches to assess outcomes and compare change against baseline values. The approach will be grounded in the KAP framework and complemented by access, quality, equity, accountability, and contribution-analysis lenses. Where possible, the endline methodology, tools, sampling approach, and indicator definitions should mirror the baseline to ensure valid comparison.</w:t>
      </w:r>
    </w:p>
    <w:p w14:paraId="18BF3E41" w14:textId="77777777" w:rsidR="00C91FB9" w:rsidRPr="00613641" w:rsidRDefault="00C91FB9" w:rsidP="00E3654E">
      <w:pPr>
        <w:spacing w:after="0" w:line="360" w:lineRule="auto"/>
        <w:jc w:val="both"/>
        <w:rPr>
          <w:rFonts w:asciiTheme="majorBidi" w:hAnsiTheme="majorBidi" w:cstheme="majorBidi"/>
          <w:bCs/>
        </w:rPr>
      </w:pPr>
    </w:p>
    <w:p w14:paraId="00F05CD7"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lastRenderedPageBreak/>
        <w:t>a. Type of Study:</w:t>
      </w:r>
    </w:p>
    <w:p w14:paraId="2026564F"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Quantitative Component</w:t>
      </w:r>
    </w:p>
    <w:p w14:paraId="79C9E2FF" w14:textId="2025266C" w:rsidR="00613641" w:rsidRPr="001F520F" w:rsidRDefault="00613641" w:rsidP="00C05318">
      <w:pPr>
        <w:pStyle w:val="ListParagraph"/>
        <w:numPr>
          <w:ilvl w:val="0"/>
          <w:numId w:val="34"/>
        </w:numPr>
        <w:spacing w:after="0" w:line="360" w:lineRule="auto"/>
        <w:jc w:val="both"/>
        <w:rPr>
          <w:rFonts w:asciiTheme="majorBidi" w:hAnsiTheme="majorBidi" w:cstheme="majorBidi"/>
          <w:bCs/>
        </w:rPr>
      </w:pPr>
      <w:r w:rsidRPr="001F520F">
        <w:rPr>
          <w:rFonts w:asciiTheme="majorBidi" w:hAnsiTheme="majorBidi" w:cstheme="majorBidi"/>
          <w:bCs/>
        </w:rPr>
        <w:t>Administer structured household surveys to measure endline KAP related to PHC, maternal and child health, GBV referral awareness, nutrition, and IYCF-E.</w:t>
      </w:r>
    </w:p>
    <w:p w14:paraId="51165539" w14:textId="455F05C7" w:rsidR="00613641" w:rsidRPr="001F520F" w:rsidRDefault="00613641" w:rsidP="00C05318">
      <w:pPr>
        <w:pStyle w:val="ListParagraph"/>
        <w:numPr>
          <w:ilvl w:val="0"/>
          <w:numId w:val="34"/>
        </w:numPr>
        <w:spacing w:after="0" w:line="360" w:lineRule="auto"/>
        <w:jc w:val="both"/>
        <w:rPr>
          <w:rFonts w:asciiTheme="majorBidi" w:hAnsiTheme="majorBidi" w:cstheme="majorBidi"/>
          <w:bCs/>
        </w:rPr>
      </w:pPr>
      <w:r w:rsidRPr="001F520F">
        <w:rPr>
          <w:rFonts w:asciiTheme="majorBidi" w:hAnsiTheme="majorBidi" w:cstheme="majorBidi"/>
          <w:bCs/>
        </w:rPr>
        <w:t>Measure service utilization patterns, barriers to care, satisfaction, and accountability experiences.</w:t>
      </w:r>
    </w:p>
    <w:p w14:paraId="60D0423F" w14:textId="3CAC897F" w:rsidR="00613641" w:rsidRPr="001F520F" w:rsidRDefault="00613641" w:rsidP="00C05318">
      <w:pPr>
        <w:pStyle w:val="ListParagraph"/>
        <w:numPr>
          <w:ilvl w:val="0"/>
          <w:numId w:val="34"/>
        </w:numPr>
        <w:spacing w:after="0" w:line="360" w:lineRule="auto"/>
        <w:jc w:val="both"/>
        <w:rPr>
          <w:rFonts w:asciiTheme="majorBidi" w:hAnsiTheme="majorBidi" w:cstheme="majorBidi"/>
          <w:bCs/>
        </w:rPr>
      </w:pPr>
      <w:r w:rsidRPr="001F520F">
        <w:rPr>
          <w:rFonts w:asciiTheme="majorBidi" w:hAnsiTheme="majorBidi" w:cstheme="majorBidi"/>
          <w:bCs/>
        </w:rPr>
        <w:t>Assess nutrition-related practices and screening/referral experiences among households with children under five.</w:t>
      </w:r>
    </w:p>
    <w:p w14:paraId="308A6339" w14:textId="6EBDBFFD" w:rsidR="00613641" w:rsidRPr="001F520F" w:rsidRDefault="00613641" w:rsidP="00C05318">
      <w:pPr>
        <w:pStyle w:val="ListParagraph"/>
        <w:numPr>
          <w:ilvl w:val="0"/>
          <w:numId w:val="34"/>
        </w:numPr>
        <w:spacing w:after="0" w:line="360" w:lineRule="auto"/>
        <w:jc w:val="both"/>
        <w:rPr>
          <w:rFonts w:asciiTheme="majorBidi" w:hAnsiTheme="majorBidi" w:cstheme="majorBidi"/>
          <w:bCs/>
        </w:rPr>
      </w:pPr>
      <w:r w:rsidRPr="001F520F">
        <w:rPr>
          <w:rFonts w:asciiTheme="majorBidi" w:hAnsiTheme="majorBidi" w:cstheme="majorBidi"/>
          <w:bCs/>
        </w:rPr>
        <w:t>Conduct facility assessments to measure current service readiness, availability of essential medicines, staffing, supplies, IPC, referral pathways, and nutrition service functionality.</w:t>
      </w:r>
    </w:p>
    <w:p w14:paraId="480D509B" w14:textId="113F51D8" w:rsidR="00613641" w:rsidRPr="001F520F" w:rsidRDefault="00613641" w:rsidP="00C05318">
      <w:pPr>
        <w:pStyle w:val="ListParagraph"/>
        <w:numPr>
          <w:ilvl w:val="0"/>
          <w:numId w:val="34"/>
        </w:numPr>
        <w:spacing w:after="0" w:line="360" w:lineRule="auto"/>
        <w:jc w:val="both"/>
        <w:rPr>
          <w:rFonts w:asciiTheme="majorBidi" w:hAnsiTheme="majorBidi" w:cstheme="majorBidi"/>
          <w:b/>
        </w:rPr>
      </w:pPr>
      <w:r w:rsidRPr="001F520F">
        <w:rPr>
          <w:rFonts w:asciiTheme="majorBidi" w:hAnsiTheme="majorBidi" w:cstheme="majorBidi"/>
          <w:bCs/>
        </w:rPr>
        <w:t>Review routine service records to measure indicators that require implementation data, including CMAM admissions, recovery/defaulting, stock status, and crisis response timeliness</w:t>
      </w:r>
      <w:r w:rsidRPr="001F520F">
        <w:rPr>
          <w:rFonts w:asciiTheme="majorBidi" w:hAnsiTheme="majorBidi" w:cstheme="majorBidi"/>
          <w:b/>
        </w:rPr>
        <w:t>.</w:t>
      </w:r>
    </w:p>
    <w:p w14:paraId="41DA2E6A"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Qualitative Component</w:t>
      </w:r>
    </w:p>
    <w:p w14:paraId="6A3365C2" w14:textId="120337B0" w:rsidR="00613641" w:rsidRPr="00C05318" w:rsidRDefault="00613641" w:rsidP="00C05318">
      <w:pPr>
        <w:pStyle w:val="ListParagraph"/>
        <w:numPr>
          <w:ilvl w:val="0"/>
          <w:numId w:val="35"/>
        </w:numPr>
        <w:spacing w:after="0" w:line="360" w:lineRule="auto"/>
        <w:jc w:val="both"/>
        <w:rPr>
          <w:rFonts w:asciiTheme="majorBidi" w:hAnsiTheme="majorBidi" w:cstheme="majorBidi"/>
          <w:bCs/>
        </w:rPr>
      </w:pPr>
      <w:r w:rsidRPr="00C05318">
        <w:rPr>
          <w:rFonts w:asciiTheme="majorBidi" w:hAnsiTheme="majorBidi" w:cstheme="majorBidi"/>
          <w:bCs/>
        </w:rPr>
        <w:t xml:space="preserve">Conduct KIIs and FGDs to explore perceived changes in service quality, health-seeking </w:t>
      </w:r>
      <w:proofErr w:type="spellStart"/>
      <w:r w:rsidRPr="00C05318">
        <w:rPr>
          <w:rFonts w:asciiTheme="majorBidi" w:hAnsiTheme="majorBidi" w:cstheme="majorBidi"/>
          <w:bCs/>
        </w:rPr>
        <w:t>behaviour</w:t>
      </w:r>
      <w:proofErr w:type="spellEnd"/>
      <w:r w:rsidRPr="00C05318">
        <w:rPr>
          <w:rFonts w:asciiTheme="majorBidi" w:hAnsiTheme="majorBidi" w:cstheme="majorBidi"/>
          <w:bCs/>
        </w:rPr>
        <w:t>, trust in services, barriers and enablers, and community perceptions of the project.</w:t>
      </w:r>
    </w:p>
    <w:p w14:paraId="50D3A7BB" w14:textId="522DAB16" w:rsidR="00613641" w:rsidRPr="00C05318" w:rsidRDefault="00613641" w:rsidP="00C05318">
      <w:pPr>
        <w:pStyle w:val="ListParagraph"/>
        <w:numPr>
          <w:ilvl w:val="0"/>
          <w:numId w:val="35"/>
        </w:numPr>
        <w:spacing w:after="0" w:line="360" w:lineRule="auto"/>
        <w:jc w:val="both"/>
        <w:rPr>
          <w:rFonts w:asciiTheme="majorBidi" w:hAnsiTheme="majorBidi" w:cstheme="majorBidi"/>
          <w:bCs/>
        </w:rPr>
      </w:pPr>
      <w:r w:rsidRPr="00C05318">
        <w:rPr>
          <w:rFonts w:asciiTheme="majorBidi" w:hAnsiTheme="majorBidi" w:cstheme="majorBidi"/>
          <w:bCs/>
        </w:rPr>
        <w:t>Explore gender-related, disability-related, safety-related, and access-related factors affecting utilization of health and nutrition services.</w:t>
      </w:r>
    </w:p>
    <w:p w14:paraId="62D68C1F" w14:textId="26242241" w:rsidR="00613641" w:rsidRPr="00C05318" w:rsidRDefault="00613641" w:rsidP="00C05318">
      <w:pPr>
        <w:pStyle w:val="ListParagraph"/>
        <w:numPr>
          <w:ilvl w:val="0"/>
          <w:numId w:val="35"/>
        </w:numPr>
        <w:spacing w:after="0" w:line="360" w:lineRule="auto"/>
        <w:jc w:val="both"/>
        <w:rPr>
          <w:rFonts w:asciiTheme="majorBidi" w:hAnsiTheme="majorBidi" w:cstheme="majorBidi"/>
          <w:bCs/>
        </w:rPr>
      </w:pPr>
      <w:r w:rsidRPr="00C05318">
        <w:rPr>
          <w:rFonts w:asciiTheme="majorBidi" w:hAnsiTheme="majorBidi" w:cstheme="majorBidi"/>
          <w:bCs/>
        </w:rPr>
        <w:t>Document lessons learned, good practices, sustainability considerations, and recommendations from communities, health workers, CNVs, local authorities, MoH, and project teams.</w:t>
      </w:r>
    </w:p>
    <w:p w14:paraId="5BCA5D46"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Triangulation and Contribution Analysis</w:t>
      </w:r>
    </w:p>
    <w:p w14:paraId="7D69225D" w14:textId="77777777" w:rsidR="00613641" w:rsidRPr="00C05318" w:rsidRDefault="00613641" w:rsidP="00C05318">
      <w:pPr>
        <w:spacing w:after="0" w:line="360" w:lineRule="auto"/>
        <w:jc w:val="both"/>
        <w:rPr>
          <w:rFonts w:asciiTheme="majorBidi" w:hAnsiTheme="majorBidi" w:cstheme="majorBidi"/>
          <w:bCs/>
        </w:rPr>
      </w:pPr>
      <w:r w:rsidRPr="00C05318">
        <w:rPr>
          <w:rFonts w:asciiTheme="majorBidi" w:hAnsiTheme="majorBidi" w:cstheme="majorBidi"/>
          <w:bCs/>
        </w:rPr>
        <w:t>Endline findings will be triangulated across household data, facility assessments, service records, qualitative evidence, routine monitoring, and baseline findings. The study will use contribution analysis to assess the plausible contribution of the project to observed changes, recognizing the influence of conflict, displacement, access constraints, and other contextual factors.</w:t>
      </w:r>
    </w:p>
    <w:p w14:paraId="4558451E"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b. Units of Analysis</w:t>
      </w:r>
    </w:p>
    <w:p w14:paraId="66606923" w14:textId="77777777" w:rsidR="00613641" w:rsidRPr="00660209" w:rsidRDefault="00613641" w:rsidP="00660209">
      <w:pPr>
        <w:pStyle w:val="ListParagraph"/>
        <w:numPr>
          <w:ilvl w:val="0"/>
          <w:numId w:val="36"/>
        </w:numPr>
        <w:spacing w:after="0" w:line="360" w:lineRule="auto"/>
        <w:rPr>
          <w:rFonts w:asciiTheme="majorBidi" w:hAnsiTheme="majorBidi" w:cstheme="majorBidi"/>
          <w:bCs/>
        </w:rPr>
      </w:pPr>
      <w:r w:rsidRPr="00660209">
        <w:rPr>
          <w:rFonts w:asciiTheme="majorBidi" w:hAnsiTheme="majorBidi" w:cstheme="majorBidi"/>
          <w:bCs/>
        </w:rPr>
        <w:t>Demand-Side (Community Level)</w:t>
      </w:r>
    </w:p>
    <w:p w14:paraId="1BAE4A5F" w14:textId="31E8259A" w:rsidR="00613641" w:rsidRPr="00660209" w:rsidRDefault="00613641" w:rsidP="00660209">
      <w:pPr>
        <w:pStyle w:val="ListParagraph"/>
        <w:numPr>
          <w:ilvl w:val="0"/>
          <w:numId w:val="36"/>
        </w:numPr>
        <w:spacing w:after="0" w:line="360" w:lineRule="auto"/>
        <w:rPr>
          <w:rFonts w:asciiTheme="majorBidi" w:hAnsiTheme="majorBidi" w:cstheme="majorBidi"/>
          <w:bCs/>
        </w:rPr>
      </w:pPr>
      <w:r w:rsidRPr="00660209">
        <w:rPr>
          <w:rFonts w:asciiTheme="majorBidi" w:hAnsiTheme="majorBidi" w:cstheme="majorBidi"/>
          <w:bCs/>
        </w:rPr>
        <w:t>Households and caregivers of children under five</w:t>
      </w:r>
    </w:p>
    <w:p w14:paraId="0867CC26" w14:textId="0134C480" w:rsidR="00613641" w:rsidRPr="00660209" w:rsidRDefault="00613641" w:rsidP="00660209">
      <w:pPr>
        <w:pStyle w:val="ListParagraph"/>
        <w:numPr>
          <w:ilvl w:val="0"/>
          <w:numId w:val="36"/>
        </w:numPr>
        <w:spacing w:after="0" w:line="360" w:lineRule="auto"/>
        <w:rPr>
          <w:rFonts w:asciiTheme="majorBidi" w:hAnsiTheme="majorBidi" w:cstheme="majorBidi"/>
          <w:bCs/>
        </w:rPr>
      </w:pPr>
      <w:r w:rsidRPr="00660209">
        <w:rPr>
          <w:rFonts w:asciiTheme="majorBidi" w:hAnsiTheme="majorBidi" w:cstheme="majorBidi"/>
          <w:bCs/>
        </w:rPr>
        <w:t>Pregnant and Lactating Women (PLW)</w:t>
      </w:r>
    </w:p>
    <w:p w14:paraId="110F72AC" w14:textId="56966F3D" w:rsidR="00613641" w:rsidRPr="00660209" w:rsidRDefault="00613641" w:rsidP="00660209">
      <w:pPr>
        <w:pStyle w:val="ListParagraph"/>
        <w:numPr>
          <w:ilvl w:val="0"/>
          <w:numId w:val="36"/>
        </w:numPr>
        <w:spacing w:after="0" w:line="360" w:lineRule="auto"/>
        <w:rPr>
          <w:rFonts w:asciiTheme="majorBidi" w:hAnsiTheme="majorBidi" w:cstheme="majorBidi"/>
          <w:bCs/>
        </w:rPr>
      </w:pPr>
      <w:r w:rsidRPr="00660209">
        <w:rPr>
          <w:rFonts w:asciiTheme="majorBidi" w:hAnsiTheme="majorBidi" w:cstheme="majorBidi"/>
          <w:bCs/>
        </w:rPr>
        <w:lastRenderedPageBreak/>
        <w:t>Adolescents (male and female), where culturally appropriate</w:t>
      </w:r>
    </w:p>
    <w:p w14:paraId="18AEF20D" w14:textId="5533ECCE" w:rsidR="00613641" w:rsidRPr="00660209" w:rsidRDefault="00613641" w:rsidP="00660209">
      <w:pPr>
        <w:pStyle w:val="ListParagraph"/>
        <w:numPr>
          <w:ilvl w:val="0"/>
          <w:numId w:val="36"/>
        </w:numPr>
        <w:spacing w:after="0" w:line="360" w:lineRule="auto"/>
        <w:rPr>
          <w:rFonts w:asciiTheme="majorBidi" w:hAnsiTheme="majorBidi" w:cstheme="majorBidi"/>
          <w:bCs/>
        </w:rPr>
      </w:pPr>
      <w:r w:rsidRPr="00660209">
        <w:rPr>
          <w:rFonts w:asciiTheme="majorBidi" w:hAnsiTheme="majorBidi" w:cstheme="majorBidi"/>
          <w:bCs/>
        </w:rPr>
        <w:t>Persons with disabilities, using self-reported functional difficulty questions where feasible</w:t>
      </w:r>
    </w:p>
    <w:p w14:paraId="0A888DBB"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Supply-Side (Service Delivery Level)</w:t>
      </w:r>
    </w:p>
    <w:p w14:paraId="33B1EA78" w14:textId="1A490058" w:rsidR="00613641" w:rsidRPr="00660209" w:rsidRDefault="00613641" w:rsidP="00660209">
      <w:pPr>
        <w:pStyle w:val="ListParagraph"/>
        <w:numPr>
          <w:ilvl w:val="0"/>
          <w:numId w:val="37"/>
        </w:numPr>
        <w:spacing w:after="0" w:line="360" w:lineRule="auto"/>
        <w:rPr>
          <w:rFonts w:asciiTheme="majorBidi" w:hAnsiTheme="majorBidi" w:cstheme="majorBidi"/>
          <w:bCs/>
        </w:rPr>
      </w:pPr>
      <w:r w:rsidRPr="00660209">
        <w:rPr>
          <w:rFonts w:asciiTheme="majorBidi" w:hAnsiTheme="majorBidi" w:cstheme="majorBidi"/>
          <w:bCs/>
        </w:rPr>
        <w:t xml:space="preserve">Primary Health Care </w:t>
      </w:r>
      <w:proofErr w:type="spellStart"/>
      <w:r w:rsidRPr="00660209">
        <w:rPr>
          <w:rFonts w:asciiTheme="majorBidi" w:hAnsiTheme="majorBidi" w:cstheme="majorBidi"/>
          <w:bCs/>
        </w:rPr>
        <w:t>Centres</w:t>
      </w:r>
      <w:proofErr w:type="spellEnd"/>
      <w:r w:rsidRPr="00660209">
        <w:rPr>
          <w:rFonts w:asciiTheme="majorBidi" w:hAnsiTheme="majorBidi" w:cstheme="majorBidi"/>
          <w:bCs/>
        </w:rPr>
        <w:t xml:space="preserve"> (PHCCs): service readiness, staffing, quality, and continuity of care</w:t>
      </w:r>
    </w:p>
    <w:p w14:paraId="4B7CC586" w14:textId="53FB58E9" w:rsidR="00613641" w:rsidRPr="00660209" w:rsidRDefault="00613641" w:rsidP="00660209">
      <w:pPr>
        <w:pStyle w:val="ListParagraph"/>
        <w:numPr>
          <w:ilvl w:val="0"/>
          <w:numId w:val="37"/>
        </w:numPr>
        <w:spacing w:after="0" w:line="360" w:lineRule="auto"/>
        <w:rPr>
          <w:rFonts w:asciiTheme="majorBidi" w:hAnsiTheme="majorBidi" w:cstheme="majorBidi"/>
          <w:bCs/>
        </w:rPr>
      </w:pPr>
      <w:r w:rsidRPr="00660209">
        <w:rPr>
          <w:rFonts w:asciiTheme="majorBidi" w:hAnsiTheme="majorBidi" w:cstheme="majorBidi"/>
          <w:bCs/>
        </w:rPr>
        <w:t xml:space="preserve">Community Health Workers (CHWs) and Community Nutrition Volunteers (CNVs): outreach effectiveness, case finding, and </w:t>
      </w:r>
      <w:proofErr w:type="spellStart"/>
      <w:r w:rsidRPr="00660209">
        <w:rPr>
          <w:rFonts w:asciiTheme="majorBidi" w:hAnsiTheme="majorBidi" w:cstheme="majorBidi"/>
          <w:bCs/>
        </w:rPr>
        <w:t>behaviour</w:t>
      </w:r>
      <w:proofErr w:type="spellEnd"/>
      <w:r w:rsidRPr="00660209">
        <w:rPr>
          <w:rFonts w:asciiTheme="majorBidi" w:hAnsiTheme="majorBidi" w:cstheme="majorBidi"/>
          <w:bCs/>
        </w:rPr>
        <w:t xml:space="preserve"> change support</w:t>
      </w:r>
    </w:p>
    <w:p w14:paraId="0CB28DE9" w14:textId="3EE104AE" w:rsidR="00613641" w:rsidRPr="00660209" w:rsidRDefault="00613641" w:rsidP="00660209">
      <w:pPr>
        <w:pStyle w:val="ListParagraph"/>
        <w:numPr>
          <w:ilvl w:val="0"/>
          <w:numId w:val="37"/>
        </w:numPr>
        <w:spacing w:after="0" w:line="360" w:lineRule="auto"/>
        <w:rPr>
          <w:rFonts w:asciiTheme="majorBidi" w:hAnsiTheme="majorBidi" w:cstheme="majorBidi"/>
          <w:bCs/>
        </w:rPr>
      </w:pPr>
      <w:r w:rsidRPr="00660209">
        <w:rPr>
          <w:rFonts w:asciiTheme="majorBidi" w:hAnsiTheme="majorBidi" w:cstheme="majorBidi"/>
          <w:bCs/>
        </w:rPr>
        <w:t>Technical and managerial stakeholders, including MoH representatives, facility in-charges, local authorities, community leaders, and partner NGOs</w:t>
      </w:r>
    </w:p>
    <w:p w14:paraId="38FACA29"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c. Geographic Scope</w:t>
      </w:r>
    </w:p>
    <w:p w14:paraId="082A4850" w14:textId="77777777" w:rsidR="00613641" w:rsidRPr="00613641" w:rsidRDefault="00613641" w:rsidP="00660209">
      <w:pPr>
        <w:spacing w:after="0" w:line="360" w:lineRule="auto"/>
        <w:jc w:val="both"/>
        <w:rPr>
          <w:rFonts w:asciiTheme="majorBidi" w:hAnsiTheme="majorBidi" w:cstheme="majorBidi"/>
          <w:b/>
        </w:rPr>
      </w:pPr>
      <w:r w:rsidRPr="00660209">
        <w:rPr>
          <w:rFonts w:asciiTheme="majorBidi" w:hAnsiTheme="majorBidi" w:cstheme="majorBidi"/>
          <w:bCs/>
        </w:rPr>
        <w:t>The endline will cover the project catchment populations in North Darfur (Tawila locality) and Khartoum (Omdurman locality), representing both conflict-affected and urban implementation contexts. The study will cover all five project-supported PHCCs: three in North Darfur and two in Khartoum</w:t>
      </w:r>
      <w:r w:rsidRPr="00613641">
        <w:rPr>
          <w:rFonts w:asciiTheme="majorBidi" w:hAnsiTheme="majorBidi" w:cstheme="majorBidi"/>
          <w:b/>
        </w:rPr>
        <w:t>.</w:t>
      </w:r>
    </w:p>
    <w:p w14:paraId="5924C821"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d. Rationale for the Design</w:t>
      </w:r>
    </w:p>
    <w:p w14:paraId="731E7420" w14:textId="77777777" w:rsidR="00613641" w:rsidRDefault="00613641" w:rsidP="00660209">
      <w:pPr>
        <w:spacing w:after="0" w:line="360" w:lineRule="auto"/>
        <w:jc w:val="both"/>
        <w:rPr>
          <w:rFonts w:asciiTheme="majorBidi" w:hAnsiTheme="majorBidi" w:cstheme="majorBidi"/>
          <w:bCs/>
        </w:rPr>
      </w:pPr>
      <w:r w:rsidRPr="00660209">
        <w:rPr>
          <w:rFonts w:asciiTheme="majorBidi" w:hAnsiTheme="majorBidi" w:cstheme="majorBidi"/>
          <w:bCs/>
        </w:rPr>
        <w:t xml:space="preserve">The cross-sectional mixed-methods design is appropriate for measuring endline status and comparing results against baseline values while remaining feasible in insecure and hard-to-reach locations. By combining household, facility, routine service, and qualitative data, the design will assess changes in community-level </w:t>
      </w:r>
      <w:proofErr w:type="spellStart"/>
      <w:r w:rsidRPr="00660209">
        <w:rPr>
          <w:rFonts w:asciiTheme="majorBidi" w:hAnsiTheme="majorBidi" w:cstheme="majorBidi"/>
          <w:bCs/>
        </w:rPr>
        <w:t>behaviours</w:t>
      </w:r>
      <w:proofErr w:type="spellEnd"/>
      <w:r w:rsidRPr="00660209">
        <w:rPr>
          <w:rFonts w:asciiTheme="majorBidi" w:hAnsiTheme="majorBidi" w:cstheme="majorBidi"/>
          <w:bCs/>
        </w:rPr>
        <w:t xml:space="preserve"> and demand-side barriers alongside service readiness and quality. The approach will also ensure that gender, age, disability, population status, and geographic differences are reflected in the analysis.</w:t>
      </w:r>
    </w:p>
    <w:p w14:paraId="00C21FFF" w14:textId="77777777" w:rsidR="00CA1B1A" w:rsidRPr="00660209" w:rsidRDefault="00CA1B1A" w:rsidP="00660209">
      <w:pPr>
        <w:spacing w:after="0" w:line="360" w:lineRule="auto"/>
        <w:jc w:val="both"/>
        <w:rPr>
          <w:rFonts w:asciiTheme="majorBidi" w:hAnsiTheme="majorBidi" w:cstheme="majorBidi"/>
          <w:bCs/>
        </w:rPr>
      </w:pPr>
    </w:p>
    <w:p w14:paraId="7259DD2B" w14:textId="1FB0E4CF" w:rsidR="00613641" w:rsidRPr="0042469D" w:rsidRDefault="00613641" w:rsidP="0042469D">
      <w:pPr>
        <w:pStyle w:val="ListParagraph"/>
        <w:numPr>
          <w:ilvl w:val="0"/>
          <w:numId w:val="32"/>
        </w:numPr>
        <w:spacing w:after="0" w:line="360" w:lineRule="auto"/>
        <w:rPr>
          <w:rFonts w:asciiTheme="majorBidi" w:hAnsiTheme="majorBidi" w:cstheme="majorBidi"/>
          <w:b/>
        </w:rPr>
      </w:pPr>
      <w:r w:rsidRPr="0042469D">
        <w:rPr>
          <w:rFonts w:asciiTheme="majorBidi" w:hAnsiTheme="majorBidi" w:cstheme="majorBidi"/>
          <w:b/>
        </w:rPr>
        <w:t>KAP Framework and Analytical Lenses</w:t>
      </w:r>
    </w:p>
    <w:p w14:paraId="22D6A627" w14:textId="548C0FD7" w:rsidR="0042469D" w:rsidRDefault="0052189B" w:rsidP="0052189B">
      <w:pPr>
        <w:spacing w:after="0" w:line="360" w:lineRule="auto"/>
        <w:jc w:val="both"/>
        <w:rPr>
          <w:rFonts w:asciiTheme="majorBidi" w:hAnsiTheme="majorBidi" w:cstheme="majorBidi"/>
          <w:bCs/>
        </w:rPr>
      </w:pPr>
      <w:r w:rsidRPr="0052189B">
        <w:rPr>
          <w:rFonts w:asciiTheme="majorBidi" w:hAnsiTheme="majorBidi" w:cstheme="majorBidi"/>
          <w:bCs/>
        </w:rPr>
        <w:t xml:space="preserve">The Knowledge–Attitudes–Practices (KAP) framework will guide endline tool development and analysis to measure changes in community knowledge, beliefs, and </w:t>
      </w:r>
      <w:proofErr w:type="spellStart"/>
      <w:r w:rsidRPr="0052189B">
        <w:rPr>
          <w:rFonts w:asciiTheme="majorBidi" w:hAnsiTheme="majorBidi" w:cstheme="majorBidi"/>
          <w:bCs/>
        </w:rPr>
        <w:t>behaviours</w:t>
      </w:r>
      <w:proofErr w:type="spellEnd"/>
      <w:r w:rsidRPr="0052189B">
        <w:rPr>
          <w:rFonts w:asciiTheme="majorBidi" w:hAnsiTheme="majorBidi" w:cstheme="majorBidi"/>
          <w:bCs/>
        </w:rPr>
        <w:t xml:space="preserve"> related to MNCH, SRH, GBV response, and nutrition (IYCF-E/CMAM). The KAP framework will be complemented by Access, Quality, Equity, AAP, and Contribution Analysis lenses to interpret whether observed changes are linked to project interventions and whether services were inclusive, acceptable, and accountable.</w:t>
      </w:r>
    </w:p>
    <w:p w14:paraId="1706F84B" w14:textId="77777777" w:rsidR="0052189B" w:rsidRDefault="0052189B" w:rsidP="0052189B">
      <w:pPr>
        <w:spacing w:after="0" w:line="360" w:lineRule="auto"/>
        <w:jc w:val="both"/>
        <w:rPr>
          <w:rFonts w:asciiTheme="majorBidi" w:hAnsiTheme="majorBidi" w:cstheme="majorBidi"/>
          <w:bCs/>
        </w:rPr>
      </w:pPr>
    </w:p>
    <w:tbl>
      <w:tblPr>
        <w:tblStyle w:val="TableGrid3"/>
        <w:tblW w:w="0" w:type="auto"/>
        <w:jc w:val="center"/>
        <w:tblLook w:val="04A0" w:firstRow="1" w:lastRow="0" w:firstColumn="1" w:lastColumn="0" w:noHBand="0" w:noVBand="1"/>
      </w:tblPr>
      <w:tblGrid>
        <w:gridCol w:w="2253"/>
        <w:gridCol w:w="2475"/>
        <w:gridCol w:w="2264"/>
        <w:gridCol w:w="2308"/>
      </w:tblGrid>
      <w:tr w:rsidR="00CA1B1A" w:rsidRPr="00CA1B1A" w14:paraId="5DE107C2" w14:textId="77777777" w:rsidTr="00CA1B1A">
        <w:trPr>
          <w:jc w:val="center"/>
        </w:trPr>
        <w:tc>
          <w:tcPr>
            <w:tcW w:w="2556" w:type="dxa"/>
            <w:tcBorders>
              <w:top w:val="single" w:sz="24" w:space="0" w:color="FF0000"/>
              <w:left w:val="single" w:sz="24" w:space="0" w:color="FF0000"/>
            </w:tcBorders>
          </w:tcPr>
          <w:p w14:paraId="5E48D712" w14:textId="77777777" w:rsidR="00CA1B1A" w:rsidRPr="00CA1B1A" w:rsidRDefault="00CA1B1A" w:rsidP="00CA1B1A">
            <w:pPr>
              <w:rPr>
                <w:rFonts w:asciiTheme="majorBidi" w:hAnsiTheme="majorBidi" w:cstheme="majorBidi"/>
              </w:rPr>
            </w:pPr>
            <w:r w:rsidRPr="00CA1B1A">
              <w:rPr>
                <w:rFonts w:asciiTheme="majorBidi" w:hAnsiTheme="majorBidi" w:cstheme="majorBidi"/>
                <w:b/>
              </w:rPr>
              <w:lastRenderedPageBreak/>
              <w:t>Domain</w:t>
            </w:r>
          </w:p>
        </w:tc>
        <w:tc>
          <w:tcPr>
            <w:tcW w:w="2556" w:type="dxa"/>
            <w:tcBorders>
              <w:top w:val="single" w:sz="24" w:space="0" w:color="FF0000"/>
            </w:tcBorders>
          </w:tcPr>
          <w:p w14:paraId="2B6FA714" w14:textId="77777777" w:rsidR="00CA1B1A" w:rsidRPr="00CA1B1A" w:rsidRDefault="00CA1B1A" w:rsidP="00CA1B1A">
            <w:pPr>
              <w:rPr>
                <w:rFonts w:asciiTheme="majorBidi" w:hAnsiTheme="majorBidi" w:cstheme="majorBidi"/>
              </w:rPr>
            </w:pPr>
            <w:r w:rsidRPr="00CA1B1A">
              <w:rPr>
                <w:rFonts w:asciiTheme="majorBidi" w:hAnsiTheme="majorBidi" w:cstheme="majorBidi"/>
                <w:b/>
              </w:rPr>
              <w:t>Key Focus Areas</w:t>
            </w:r>
          </w:p>
        </w:tc>
        <w:tc>
          <w:tcPr>
            <w:tcW w:w="2556" w:type="dxa"/>
            <w:tcBorders>
              <w:top w:val="single" w:sz="24" w:space="0" w:color="FF0000"/>
            </w:tcBorders>
          </w:tcPr>
          <w:p w14:paraId="7569866D" w14:textId="77777777" w:rsidR="00CA1B1A" w:rsidRPr="00CA1B1A" w:rsidRDefault="00CA1B1A" w:rsidP="00CA1B1A">
            <w:pPr>
              <w:rPr>
                <w:rFonts w:asciiTheme="majorBidi" w:hAnsiTheme="majorBidi" w:cstheme="majorBidi"/>
              </w:rPr>
            </w:pPr>
            <w:r w:rsidRPr="00CA1B1A">
              <w:rPr>
                <w:rFonts w:asciiTheme="majorBidi" w:hAnsiTheme="majorBidi" w:cstheme="majorBidi"/>
                <w:b/>
              </w:rPr>
              <w:t>Example Endline Questions</w:t>
            </w:r>
          </w:p>
        </w:tc>
        <w:tc>
          <w:tcPr>
            <w:tcW w:w="2556" w:type="dxa"/>
            <w:tcBorders>
              <w:top w:val="single" w:sz="24" w:space="0" w:color="FF0000"/>
              <w:right w:val="single" w:sz="24" w:space="0" w:color="FF0000"/>
            </w:tcBorders>
          </w:tcPr>
          <w:p w14:paraId="6C56ED78" w14:textId="77777777" w:rsidR="00CA1B1A" w:rsidRPr="00CA1B1A" w:rsidRDefault="00CA1B1A" w:rsidP="00CA1B1A">
            <w:pPr>
              <w:rPr>
                <w:rFonts w:asciiTheme="majorBidi" w:hAnsiTheme="majorBidi" w:cstheme="majorBidi"/>
              </w:rPr>
            </w:pPr>
            <w:r w:rsidRPr="00CA1B1A">
              <w:rPr>
                <w:rFonts w:asciiTheme="majorBidi" w:hAnsiTheme="majorBidi" w:cstheme="majorBidi"/>
                <w:b/>
              </w:rPr>
              <w:t>Purpose / Use</w:t>
            </w:r>
          </w:p>
        </w:tc>
      </w:tr>
      <w:tr w:rsidR="00CA1B1A" w:rsidRPr="00CA1B1A" w14:paraId="51C96383" w14:textId="77777777" w:rsidTr="00CA1B1A">
        <w:trPr>
          <w:jc w:val="center"/>
        </w:trPr>
        <w:tc>
          <w:tcPr>
            <w:tcW w:w="2556" w:type="dxa"/>
            <w:tcBorders>
              <w:left w:val="single" w:sz="24" w:space="0" w:color="FF0000"/>
            </w:tcBorders>
          </w:tcPr>
          <w:p w14:paraId="1CF37E5C" w14:textId="77777777" w:rsidR="00CA1B1A" w:rsidRPr="00CA1B1A" w:rsidRDefault="00CA1B1A" w:rsidP="00CA1B1A">
            <w:pPr>
              <w:rPr>
                <w:rFonts w:asciiTheme="majorBidi" w:hAnsiTheme="majorBidi" w:cstheme="majorBidi"/>
              </w:rPr>
            </w:pPr>
            <w:r w:rsidRPr="00CA1B1A">
              <w:rPr>
                <w:rFonts w:asciiTheme="majorBidi" w:hAnsiTheme="majorBidi" w:cstheme="majorBidi"/>
              </w:rPr>
              <w:t>Knowledge</w:t>
            </w:r>
          </w:p>
        </w:tc>
        <w:tc>
          <w:tcPr>
            <w:tcW w:w="2556" w:type="dxa"/>
          </w:tcPr>
          <w:p w14:paraId="444363F1" w14:textId="77777777" w:rsidR="00CA1B1A" w:rsidRPr="00CA1B1A" w:rsidRDefault="00CA1B1A" w:rsidP="00CA1B1A">
            <w:pPr>
              <w:rPr>
                <w:rFonts w:asciiTheme="majorBidi" w:hAnsiTheme="majorBidi" w:cstheme="majorBidi"/>
              </w:rPr>
            </w:pPr>
            <w:r w:rsidRPr="00CA1B1A">
              <w:rPr>
                <w:rFonts w:asciiTheme="majorBidi" w:hAnsiTheme="majorBidi" w:cstheme="majorBidi"/>
              </w:rPr>
              <w:t>Awareness of pregnancy danger signs, ANC/PNC schedules, skilled birth attendance, GBV referral timing, child health, immunization, IYCF-E and CMAM.</w:t>
            </w:r>
          </w:p>
        </w:tc>
        <w:tc>
          <w:tcPr>
            <w:tcW w:w="2556" w:type="dxa"/>
          </w:tcPr>
          <w:p w14:paraId="685DEA31" w14:textId="77777777" w:rsidR="00CA1B1A" w:rsidRPr="00CA1B1A" w:rsidRDefault="00CA1B1A" w:rsidP="00CA1B1A">
            <w:pPr>
              <w:rPr>
                <w:rFonts w:asciiTheme="majorBidi" w:hAnsiTheme="majorBidi" w:cstheme="majorBidi"/>
              </w:rPr>
            </w:pPr>
            <w:r w:rsidRPr="00CA1B1A">
              <w:rPr>
                <w:rFonts w:asciiTheme="majorBidi" w:hAnsiTheme="majorBidi" w:cstheme="majorBidi"/>
              </w:rPr>
              <w:t>What pregnancy danger signs do you know? What should a GBV survivor do within 72 hours? What foods should a child under two eat for healthy growth?</w:t>
            </w:r>
          </w:p>
        </w:tc>
        <w:tc>
          <w:tcPr>
            <w:tcW w:w="2556" w:type="dxa"/>
            <w:tcBorders>
              <w:right w:val="single" w:sz="24" w:space="0" w:color="FF0000"/>
            </w:tcBorders>
          </w:tcPr>
          <w:p w14:paraId="75EE4B3D" w14:textId="77777777" w:rsidR="00CA1B1A" w:rsidRPr="00CA1B1A" w:rsidRDefault="00CA1B1A" w:rsidP="00CA1B1A">
            <w:pPr>
              <w:rPr>
                <w:rFonts w:asciiTheme="majorBidi" w:hAnsiTheme="majorBidi" w:cstheme="majorBidi"/>
              </w:rPr>
            </w:pPr>
            <w:r w:rsidRPr="00CA1B1A">
              <w:rPr>
                <w:rFonts w:asciiTheme="majorBidi" w:hAnsiTheme="majorBidi" w:cstheme="majorBidi"/>
              </w:rPr>
              <w:t>Measures change in awareness and factual understanding compared with baseline.</w:t>
            </w:r>
          </w:p>
        </w:tc>
      </w:tr>
      <w:tr w:rsidR="00CA1B1A" w:rsidRPr="00CA1B1A" w14:paraId="37689B6F" w14:textId="77777777" w:rsidTr="00CA1B1A">
        <w:trPr>
          <w:jc w:val="center"/>
        </w:trPr>
        <w:tc>
          <w:tcPr>
            <w:tcW w:w="2556" w:type="dxa"/>
            <w:tcBorders>
              <w:left w:val="single" w:sz="24" w:space="0" w:color="FF0000"/>
            </w:tcBorders>
          </w:tcPr>
          <w:p w14:paraId="35FB7846" w14:textId="77777777" w:rsidR="00CA1B1A" w:rsidRPr="00CA1B1A" w:rsidRDefault="00CA1B1A" w:rsidP="00CA1B1A">
            <w:pPr>
              <w:rPr>
                <w:rFonts w:asciiTheme="majorBidi" w:hAnsiTheme="majorBidi" w:cstheme="majorBidi"/>
              </w:rPr>
            </w:pPr>
            <w:r w:rsidRPr="00CA1B1A">
              <w:rPr>
                <w:rFonts w:asciiTheme="majorBidi" w:hAnsiTheme="majorBidi" w:cstheme="majorBidi"/>
              </w:rPr>
              <w:t>Attitudes</w:t>
            </w:r>
          </w:p>
        </w:tc>
        <w:tc>
          <w:tcPr>
            <w:tcW w:w="2556" w:type="dxa"/>
          </w:tcPr>
          <w:p w14:paraId="0B41ED8D" w14:textId="77777777" w:rsidR="00CA1B1A" w:rsidRPr="00CA1B1A" w:rsidRDefault="00CA1B1A" w:rsidP="00CA1B1A">
            <w:pPr>
              <w:rPr>
                <w:rFonts w:asciiTheme="majorBidi" w:hAnsiTheme="majorBidi" w:cstheme="majorBidi"/>
              </w:rPr>
            </w:pPr>
            <w:r w:rsidRPr="00CA1B1A">
              <w:rPr>
                <w:rFonts w:asciiTheme="majorBidi" w:hAnsiTheme="majorBidi" w:cstheme="majorBidi"/>
              </w:rPr>
              <w:t>Perceived benefits and barriers to using services; trust in health workers; norms around GBV disclosure, breastfeeding, contraception, and child feeding.</w:t>
            </w:r>
          </w:p>
        </w:tc>
        <w:tc>
          <w:tcPr>
            <w:tcW w:w="2556" w:type="dxa"/>
          </w:tcPr>
          <w:p w14:paraId="7B42DEB6" w14:textId="77777777" w:rsidR="00CA1B1A" w:rsidRPr="00CA1B1A" w:rsidRDefault="00CA1B1A" w:rsidP="00CA1B1A">
            <w:pPr>
              <w:rPr>
                <w:rFonts w:asciiTheme="majorBidi" w:hAnsiTheme="majorBidi" w:cstheme="majorBidi"/>
              </w:rPr>
            </w:pPr>
            <w:r w:rsidRPr="00CA1B1A">
              <w:rPr>
                <w:rFonts w:asciiTheme="majorBidi" w:hAnsiTheme="majorBidi" w:cstheme="majorBidi"/>
              </w:rPr>
              <w:t>Do you agree that facility delivery is safer than home delivery? Do you trust health workers to provide confidential care?</w:t>
            </w:r>
          </w:p>
        </w:tc>
        <w:tc>
          <w:tcPr>
            <w:tcW w:w="2556" w:type="dxa"/>
            <w:tcBorders>
              <w:right w:val="single" w:sz="24" w:space="0" w:color="FF0000"/>
            </w:tcBorders>
          </w:tcPr>
          <w:p w14:paraId="4F66D790" w14:textId="77777777" w:rsidR="00CA1B1A" w:rsidRPr="00CA1B1A" w:rsidRDefault="00CA1B1A" w:rsidP="00CA1B1A">
            <w:pPr>
              <w:rPr>
                <w:rFonts w:asciiTheme="majorBidi" w:hAnsiTheme="majorBidi" w:cstheme="majorBidi"/>
              </w:rPr>
            </w:pPr>
            <w:r w:rsidRPr="00CA1B1A">
              <w:rPr>
                <w:rFonts w:asciiTheme="majorBidi" w:hAnsiTheme="majorBidi" w:cstheme="majorBidi"/>
              </w:rPr>
              <w:t>Assesses changes in beliefs, norms, and motivation to seek care.</w:t>
            </w:r>
          </w:p>
        </w:tc>
      </w:tr>
      <w:tr w:rsidR="00CA1B1A" w:rsidRPr="00CA1B1A" w14:paraId="0ED55749" w14:textId="77777777" w:rsidTr="00CA1B1A">
        <w:trPr>
          <w:jc w:val="center"/>
        </w:trPr>
        <w:tc>
          <w:tcPr>
            <w:tcW w:w="2556" w:type="dxa"/>
            <w:tcBorders>
              <w:left w:val="single" w:sz="24" w:space="0" w:color="FF0000"/>
            </w:tcBorders>
          </w:tcPr>
          <w:p w14:paraId="431FCF49" w14:textId="77777777" w:rsidR="00CA1B1A" w:rsidRPr="00CA1B1A" w:rsidRDefault="00CA1B1A" w:rsidP="00CA1B1A">
            <w:pPr>
              <w:rPr>
                <w:rFonts w:asciiTheme="majorBidi" w:hAnsiTheme="majorBidi" w:cstheme="majorBidi"/>
              </w:rPr>
            </w:pPr>
            <w:r w:rsidRPr="00CA1B1A">
              <w:rPr>
                <w:rFonts w:asciiTheme="majorBidi" w:hAnsiTheme="majorBidi" w:cstheme="majorBidi"/>
              </w:rPr>
              <w:t>Practices</w:t>
            </w:r>
          </w:p>
        </w:tc>
        <w:tc>
          <w:tcPr>
            <w:tcW w:w="2556" w:type="dxa"/>
          </w:tcPr>
          <w:p w14:paraId="365FF4D1" w14:textId="77777777" w:rsidR="00CA1B1A" w:rsidRPr="00CA1B1A" w:rsidRDefault="00CA1B1A" w:rsidP="00CA1B1A">
            <w:pPr>
              <w:rPr>
                <w:rFonts w:asciiTheme="majorBidi" w:hAnsiTheme="majorBidi" w:cstheme="majorBidi"/>
              </w:rPr>
            </w:pPr>
            <w:r w:rsidRPr="00CA1B1A">
              <w:rPr>
                <w:rFonts w:asciiTheme="majorBidi" w:hAnsiTheme="majorBidi" w:cstheme="majorBidi"/>
              </w:rPr>
              <w:t>Actual health-seeking for ANC/PNC, child illness, GBV care, use of PHCCs/CHWs/CNVs, feeding, hygiene and newborn care practices.</w:t>
            </w:r>
          </w:p>
        </w:tc>
        <w:tc>
          <w:tcPr>
            <w:tcW w:w="2556" w:type="dxa"/>
          </w:tcPr>
          <w:p w14:paraId="1A3FD2D7" w14:textId="77777777" w:rsidR="00CA1B1A" w:rsidRPr="00CA1B1A" w:rsidRDefault="00CA1B1A" w:rsidP="00CA1B1A">
            <w:pPr>
              <w:rPr>
                <w:rFonts w:asciiTheme="majorBidi" w:hAnsiTheme="majorBidi" w:cstheme="majorBidi"/>
              </w:rPr>
            </w:pPr>
            <w:r w:rsidRPr="00CA1B1A">
              <w:rPr>
                <w:rFonts w:asciiTheme="majorBidi" w:hAnsiTheme="majorBidi" w:cstheme="majorBidi"/>
              </w:rPr>
              <w:t>Where did you seek care when your child was sick? Did you exclusively breastfeed for six months? Did you use nutrition services when needed?</w:t>
            </w:r>
          </w:p>
        </w:tc>
        <w:tc>
          <w:tcPr>
            <w:tcW w:w="2556" w:type="dxa"/>
            <w:tcBorders>
              <w:right w:val="single" w:sz="24" w:space="0" w:color="FF0000"/>
            </w:tcBorders>
          </w:tcPr>
          <w:p w14:paraId="1D883E93" w14:textId="77777777" w:rsidR="00CA1B1A" w:rsidRPr="00CA1B1A" w:rsidRDefault="00CA1B1A" w:rsidP="00CA1B1A">
            <w:pPr>
              <w:rPr>
                <w:rFonts w:asciiTheme="majorBidi" w:hAnsiTheme="majorBidi" w:cstheme="majorBidi"/>
              </w:rPr>
            </w:pPr>
            <w:r w:rsidRPr="00CA1B1A">
              <w:rPr>
                <w:rFonts w:asciiTheme="majorBidi" w:hAnsiTheme="majorBidi" w:cstheme="majorBidi"/>
              </w:rPr>
              <w:t xml:space="preserve">Identifies </w:t>
            </w:r>
            <w:proofErr w:type="spellStart"/>
            <w:r w:rsidRPr="00CA1B1A">
              <w:rPr>
                <w:rFonts w:asciiTheme="majorBidi" w:hAnsiTheme="majorBidi" w:cstheme="majorBidi"/>
              </w:rPr>
              <w:t>behavioural</w:t>
            </w:r>
            <w:proofErr w:type="spellEnd"/>
            <w:r w:rsidRPr="00CA1B1A">
              <w:rPr>
                <w:rFonts w:asciiTheme="majorBidi" w:hAnsiTheme="majorBidi" w:cstheme="majorBidi"/>
              </w:rPr>
              <w:t xml:space="preserve"> changes and remaining practice gaps.</w:t>
            </w:r>
          </w:p>
        </w:tc>
      </w:tr>
      <w:tr w:rsidR="00CA1B1A" w:rsidRPr="00CA1B1A" w14:paraId="7DCC6654" w14:textId="77777777" w:rsidTr="00CA1B1A">
        <w:trPr>
          <w:jc w:val="center"/>
        </w:trPr>
        <w:tc>
          <w:tcPr>
            <w:tcW w:w="2556" w:type="dxa"/>
            <w:tcBorders>
              <w:left w:val="single" w:sz="24" w:space="0" w:color="FF0000"/>
              <w:bottom w:val="single" w:sz="24" w:space="0" w:color="FF0000"/>
            </w:tcBorders>
          </w:tcPr>
          <w:p w14:paraId="298242BE" w14:textId="77777777" w:rsidR="00CA1B1A" w:rsidRPr="00CA1B1A" w:rsidRDefault="00CA1B1A" w:rsidP="00CA1B1A">
            <w:pPr>
              <w:rPr>
                <w:rFonts w:asciiTheme="majorBidi" w:hAnsiTheme="majorBidi" w:cstheme="majorBidi"/>
              </w:rPr>
            </w:pPr>
            <w:r w:rsidRPr="00CA1B1A">
              <w:rPr>
                <w:rFonts w:asciiTheme="majorBidi" w:hAnsiTheme="majorBidi" w:cstheme="majorBidi"/>
              </w:rPr>
              <w:t>Access, Quality &amp; Equity</w:t>
            </w:r>
          </w:p>
        </w:tc>
        <w:tc>
          <w:tcPr>
            <w:tcW w:w="2556" w:type="dxa"/>
            <w:tcBorders>
              <w:bottom w:val="single" w:sz="24" w:space="0" w:color="FF0000"/>
            </w:tcBorders>
          </w:tcPr>
          <w:p w14:paraId="054747D9" w14:textId="77777777" w:rsidR="00CA1B1A" w:rsidRPr="00CA1B1A" w:rsidRDefault="00CA1B1A" w:rsidP="00CA1B1A">
            <w:pPr>
              <w:rPr>
                <w:rFonts w:asciiTheme="majorBidi" w:hAnsiTheme="majorBidi" w:cstheme="majorBidi"/>
              </w:rPr>
            </w:pPr>
            <w:r w:rsidRPr="00CA1B1A">
              <w:rPr>
                <w:rFonts w:asciiTheme="majorBidi" w:hAnsiTheme="majorBidi" w:cstheme="majorBidi"/>
              </w:rPr>
              <w:t>Distance, cost, safety, disability access, respectful care, confidentiality, satisfaction, complaint mechanisms, and inclusion.</w:t>
            </w:r>
          </w:p>
        </w:tc>
        <w:tc>
          <w:tcPr>
            <w:tcW w:w="2556" w:type="dxa"/>
            <w:tcBorders>
              <w:bottom w:val="single" w:sz="24" w:space="0" w:color="FF0000"/>
            </w:tcBorders>
          </w:tcPr>
          <w:p w14:paraId="1A9BF4A0" w14:textId="77777777" w:rsidR="00CA1B1A" w:rsidRPr="00CA1B1A" w:rsidRDefault="00CA1B1A" w:rsidP="00CA1B1A">
            <w:pPr>
              <w:rPr>
                <w:rFonts w:asciiTheme="majorBidi" w:hAnsiTheme="majorBidi" w:cstheme="majorBidi"/>
              </w:rPr>
            </w:pPr>
            <w:r w:rsidRPr="00CA1B1A">
              <w:rPr>
                <w:rFonts w:asciiTheme="majorBidi" w:hAnsiTheme="majorBidi" w:cstheme="majorBidi"/>
              </w:rPr>
              <w:t>Were services affordable and respectful? Were disability or gender-specific needs addressed? Did you know how to provide feedback or complaints?</w:t>
            </w:r>
          </w:p>
        </w:tc>
        <w:tc>
          <w:tcPr>
            <w:tcW w:w="2556" w:type="dxa"/>
            <w:tcBorders>
              <w:bottom w:val="single" w:sz="24" w:space="0" w:color="FF0000"/>
              <w:right w:val="single" w:sz="24" w:space="0" w:color="FF0000"/>
            </w:tcBorders>
          </w:tcPr>
          <w:p w14:paraId="6C0458B7" w14:textId="77777777" w:rsidR="00CA1B1A" w:rsidRPr="00CA1B1A" w:rsidRDefault="00CA1B1A" w:rsidP="00CA1B1A">
            <w:pPr>
              <w:rPr>
                <w:rFonts w:asciiTheme="majorBidi" w:hAnsiTheme="majorBidi" w:cstheme="majorBidi"/>
              </w:rPr>
            </w:pPr>
            <w:r w:rsidRPr="00CA1B1A">
              <w:rPr>
                <w:rFonts w:asciiTheme="majorBidi" w:hAnsiTheme="majorBidi" w:cstheme="majorBidi"/>
              </w:rPr>
              <w:t>Assesses whether service improvements were equitable, inclusive, and accountable.</w:t>
            </w:r>
          </w:p>
        </w:tc>
      </w:tr>
    </w:tbl>
    <w:p w14:paraId="4CF40C28" w14:textId="77777777" w:rsidR="0052189B" w:rsidRDefault="0052189B" w:rsidP="0052189B">
      <w:pPr>
        <w:spacing w:after="0" w:line="360" w:lineRule="auto"/>
        <w:jc w:val="both"/>
        <w:rPr>
          <w:rFonts w:asciiTheme="majorBidi" w:hAnsiTheme="majorBidi" w:cstheme="majorBidi"/>
          <w:bCs/>
        </w:rPr>
      </w:pPr>
    </w:p>
    <w:p w14:paraId="499C90C3" w14:textId="77777777" w:rsidR="0052189B" w:rsidRPr="0052189B" w:rsidRDefault="0052189B" w:rsidP="0052189B">
      <w:pPr>
        <w:spacing w:after="0" w:line="360" w:lineRule="auto"/>
        <w:jc w:val="both"/>
        <w:rPr>
          <w:rFonts w:asciiTheme="majorBidi" w:hAnsiTheme="majorBidi" w:cstheme="majorBidi"/>
          <w:bCs/>
        </w:rPr>
      </w:pPr>
    </w:p>
    <w:p w14:paraId="1D478E67"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2.1 Indicators Covered</w:t>
      </w:r>
    </w:p>
    <w:p w14:paraId="5D2EBBE4"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Health (Result 1):</w:t>
      </w:r>
    </w:p>
    <w:p w14:paraId="64EAF5B0" w14:textId="3498CA4F" w:rsidR="00613641" w:rsidRPr="00CA1B1A" w:rsidRDefault="00613641" w:rsidP="00CA1B1A">
      <w:pPr>
        <w:pStyle w:val="ListParagraph"/>
        <w:numPr>
          <w:ilvl w:val="0"/>
          <w:numId w:val="38"/>
        </w:numPr>
        <w:spacing w:after="0" w:line="360" w:lineRule="auto"/>
        <w:rPr>
          <w:rFonts w:asciiTheme="majorBidi" w:hAnsiTheme="majorBidi" w:cstheme="majorBidi"/>
          <w:bCs/>
        </w:rPr>
      </w:pPr>
      <w:r w:rsidRPr="00CA1B1A">
        <w:rPr>
          <w:rFonts w:asciiTheme="majorBidi" w:hAnsiTheme="majorBidi" w:cstheme="majorBidi"/>
          <w:bCs/>
        </w:rPr>
        <w:t>Endline coverage and utilization of ANC, PNC, skilled birth attendance, child health and immunization services, compared with baseline where applicable.</w:t>
      </w:r>
    </w:p>
    <w:p w14:paraId="24E0554E" w14:textId="6D2C7FF9" w:rsidR="00613641" w:rsidRPr="00CA1B1A" w:rsidRDefault="00613641" w:rsidP="00CA1B1A">
      <w:pPr>
        <w:pStyle w:val="ListParagraph"/>
        <w:numPr>
          <w:ilvl w:val="0"/>
          <w:numId w:val="38"/>
        </w:numPr>
        <w:spacing w:after="0" w:line="360" w:lineRule="auto"/>
        <w:rPr>
          <w:rFonts w:asciiTheme="majorBidi" w:hAnsiTheme="majorBidi" w:cstheme="majorBidi"/>
          <w:bCs/>
        </w:rPr>
      </w:pPr>
      <w:r w:rsidRPr="00CA1B1A">
        <w:rPr>
          <w:rFonts w:asciiTheme="majorBidi" w:hAnsiTheme="majorBidi" w:cstheme="majorBidi"/>
          <w:bCs/>
        </w:rPr>
        <w:t>Changes in community knowledge and practices related to MNCH, SBA, child illness care-seeking, GBV-sensitive referral awareness, and quality perceptions.</w:t>
      </w:r>
    </w:p>
    <w:p w14:paraId="4D35482F" w14:textId="45FD37C8" w:rsidR="00613641" w:rsidRPr="00CA1B1A" w:rsidRDefault="00613641" w:rsidP="00CA1B1A">
      <w:pPr>
        <w:pStyle w:val="ListParagraph"/>
        <w:numPr>
          <w:ilvl w:val="0"/>
          <w:numId w:val="38"/>
        </w:numPr>
        <w:spacing w:after="0" w:line="360" w:lineRule="auto"/>
        <w:rPr>
          <w:rFonts w:asciiTheme="majorBidi" w:hAnsiTheme="majorBidi" w:cstheme="majorBidi"/>
          <w:bCs/>
        </w:rPr>
      </w:pPr>
      <w:r w:rsidRPr="00CA1B1A">
        <w:rPr>
          <w:rFonts w:asciiTheme="majorBidi" w:hAnsiTheme="majorBidi" w:cstheme="majorBidi"/>
          <w:bCs/>
        </w:rPr>
        <w:t>Current facility readiness, availability of essential medicines and supplies, staffing, IPC, referral systems, and GBV-sensitive care capacity.</w:t>
      </w:r>
    </w:p>
    <w:p w14:paraId="101F0B6B" w14:textId="53C1464A" w:rsidR="00613641" w:rsidRPr="00CA1B1A" w:rsidRDefault="00613641" w:rsidP="00CA1B1A">
      <w:pPr>
        <w:pStyle w:val="ListParagraph"/>
        <w:numPr>
          <w:ilvl w:val="0"/>
          <w:numId w:val="38"/>
        </w:numPr>
        <w:spacing w:after="0" w:line="360" w:lineRule="auto"/>
        <w:rPr>
          <w:rFonts w:asciiTheme="majorBidi" w:hAnsiTheme="majorBidi" w:cstheme="majorBidi"/>
          <w:bCs/>
        </w:rPr>
      </w:pPr>
      <w:r w:rsidRPr="00CA1B1A">
        <w:rPr>
          <w:rFonts w:asciiTheme="majorBidi" w:hAnsiTheme="majorBidi" w:cstheme="majorBidi"/>
          <w:bCs/>
        </w:rPr>
        <w:lastRenderedPageBreak/>
        <w:t xml:space="preserve">Routine service record indicators, including GBV clinical care indicators </w:t>
      </w:r>
      <w:r w:rsidR="00CA1B1A" w:rsidRPr="00CA1B1A">
        <w:rPr>
          <w:rFonts w:asciiTheme="majorBidi" w:hAnsiTheme="majorBidi" w:cstheme="majorBidi"/>
          <w:bCs/>
        </w:rPr>
        <w:t>were</w:t>
      </w:r>
      <w:r w:rsidRPr="00CA1B1A">
        <w:rPr>
          <w:rFonts w:asciiTheme="majorBidi" w:hAnsiTheme="majorBidi" w:cstheme="majorBidi"/>
          <w:bCs/>
        </w:rPr>
        <w:t xml:space="preserve"> ethically and operationally appropriate.</w:t>
      </w:r>
    </w:p>
    <w:p w14:paraId="1205C145"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Nutrition (Result 2):</w:t>
      </w:r>
    </w:p>
    <w:p w14:paraId="01D42CCB" w14:textId="1E8B19FF" w:rsidR="00613641" w:rsidRPr="00CA1B1A" w:rsidRDefault="00613641" w:rsidP="00CA1B1A">
      <w:pPr>
        <w:pStyle w:val="ListParagraph"/>
        <w:numPr>
          <w:ilvl w:val="0"/>
          <w:numId w:val="39"/>
        </w:numPr>
        <w:spacing w:after="0" w:line="360" w:lineRule="auto"/>
        <w:rPr>
          <w:rFonts w:asciiTheme="majorBidi" w:hAnsiTheme="majorBidi" w:cstheme="majorBidi"/>
          <w:bCs/>
        </w:rPr>
      </w:pPr>
      <w:r w:rsidRPr="00CA1B1A">
        <w:rPr>
          <w:rFonts w:asciiTheme="majorBidi" w:hAnsiTheme="majorBidi" w:cstheme="majorBidi"/>
          <w:bCs/>
        </w:rPr>
        <w:t>Endline IYCF-E practices, including exclusive breastfeeding, complementary feeding, dietary diversity, and feeding during illness.</w:t>
      </w:r>
    </w:p>
    <w:p w14:paraId="43C7081D" w14:textId="614DB24E" w:rsidR="00613641" w:rsidRPr="00CA1B1A" w:rsidRDefault="00613641" w:rsidP="00CA1B1A">
      <w:pPr>
        <w:pStyle w:val="ListParagraph"/>
        <w:numPr>
          <w:ilvl w:val="0"/>
          <w:numId w:val="39"/>
        </w:numPr>
        <w:spacing w:after="0" w:line="360" w:lineRule="auto"/>
        <w:rPr>
          <w:rFonts w:asciiTheme="majorBidi" w:hAnsiTheme="majorBidi" w:cstheme="majorBidi"/>
          <w:bCs/>
        </w:rPr>
      </w:pPr>
      <w:r w:rsidRPr="00CA1B1A">
        <w:rPr>
          <w:rFonts w:asciiTheme="majorBidi" w:hAnsiTheme="majorBidi" w:cstheme="majorBidi"/>
          <w:bCs/>
        </w:rPr>
        <w:t>Community awareness of malnutrition signs and care-seeking pathways.</w:t>
      </w:r>
    </w:p>
    <w:p w14:paraId="458F2C5C" w14:textId="2B990958" w:rsidR="00613641" w:rsidRPr="00CA1B1A" w:rsidRDefault="00613641" w:rsidP="00CA1B1A">
      <w:pPr>
        <w:pStyle w:val="ListParagraph"/>
        <w:numPr>
          <w:ilvl w:val="0"/>
          <w:numId w:val="39"/>
        </w:numPr>
        <w:spacing w:after="0" w:line="360" w:lineRule="auto"/>
        <w:rPr>
          <w:rFonts w:asciiTheme="majorBidi" w:hAnsiTheme="majorBidi" w:cstheme="majorBidi"/>
          <w:bCs/>
        </w:rPr>
      </w:pPr>
      <w:r w:rsidRPr="00CA1B1A">
        <w:rPr>
          <w:rFonts w:asciiTheme="majorBidi" w:hAnsiTheme="majorBidi" w:cstheme="majorBidi"/>
          <w:bCs/>
        </w:rPr>
        <w:t>CMAM service functionality, staffing, supplies, CNV outreach effectiveness, and IYCF-E counselling.</w:t>
      </w:r>
    </w:p>
    <w:p w14:paraId="20A59E84" w14:textId="3C1DCB64" w:rsidR="00613641" w:rsidRPr="00CA1B1A" w:rsidRDefault="00613641" w:rsidP="00CA1B1A">
      <w:pPr>
        <w:pStyle w:val="ListParagraph"/>
        <w:numPr>
          <w:ilvl w:val="0"/>
          <w:numId w:val="39"/>
        </w:numPr>
        <w:spacing w:after="0" w:line="360" w:lineRule="auto"/>
        <w:rPr>
          <w:rFonts w:asciiTheme="majorBidi" w:hAnsiTheme="majorBidi" w:cstheme="majorBidi"/>
          <w:bCs/>
        </w:rPr>
      </w:pPr>
      <w:r w:rsidRPr="00CA1B1A">
        <w:rPr>
          <w:rFonts w:asciiTheme="majorBidi" w:hAnsiTheme="majorBidi" w:cstheme="majorBidi"/>
          <w:bCs/>
        </w:rPr>
        <w:t>SAM/MAM admissions, recovery/defaulting, and RUTF/RUSF stock status using routine records and project monitoring data.</w:t>
      </w:r>
    </w:p>
    <w:p w14:paraId="0CBEE04F"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Crisis Modifier (Result 3):</w:t>
      </w:r>
    </w:p>
    <w:p w14:paraId="11AFEC93" w14:textId="0E10601E" w:rsidR="00613641" w:rsidRPr="00BA38ED" w:rsidRDefault="00613641" w:rsidP="00BA38ED">
      <w:pPr>
        <w:pStyle w:val="ListParagraph"/>
        <w:numPr>
          <w:ilvl w:val="0"/>
          <w:numId w:val="40"/>
        </w:numPr>
        <w:spacing w:after="0" w:line="360" w:lineRule="auto"/>
        <w:rPr>
          <w:rFonts w:asciiTheme="majorBidi" w:hAnsiTheme="majorBidi" w:cstheme="majorBidi"/>
          <w:bCs/>
        </w:rPr>
      </w:pPr>
      <w:r w:rsidRPr="00BA38ED">
        <w:rPr>
          <w:rFonts w:asciiTheme="majorBidi" w:hAnsiTheme="majorBidi" w:cstheme="majorBidi"/>
          <w:bCs/>
        </w:rPr>
        <w:t>Extent to which affected populations were reached within agreed response timeframes following verified alerts.</w:t>
      </w:r>
    </w:p>
    <w:p w14:paraId="25138DE2" w14:textId="157BACBC" w:rsidR="00613641" w:rsidRPr="00BA38ED" w:rsidRDefault="00613641" w:rsidP="00BA38ED">
      <w:pPr>
        <w:pStyle w:val="ListParagraph"/>
        <w:numPr>
          <w:ilvl w:val="0"/>
          <w:numId w:val="40"/>
        </w:numPr>
        <w:spacing w:after="0" w:line="360" w:lineRule="auto"/>
        <w:rPr>
          <w:rFonts w:asciiTheme="majorBidi" w:hAnsiTheme="majorBidi" w:cstheme="majorBidi"/>
          <w:bCs/>
        </w:rPr>
      </w:pPr>
      <w:r w:rsidRPr="00BA38ED">
        <w:rPr>
          <w:rFonts w:asciiTheme="majorBidi" w:hAnsiTheme="majorBidi" w:cstheme="majorBidi"/>
          <w:bCs/>
        </w:rPr>
        <w:t>Community perceptions of rapid support, timeliness, relevance, and adequacy.</w:t>
      </w:r>
    </w:p>
    <w:p w14:paraId="7A36DFB4" w14:textId="2AA6AFFB" w:rsidR="00613641" w:rsidRDefault="00613641" w:rsidP="00BA38ED">
      <w:pPr>
        <w:pStyle w:val="ListParagraph"/>
        <w:numPr>
          <w:ilvl w:val="0"/>
          <w:numId w:val="40"/>
        </w:numPr>
        <w:spacing w:after="0" w:line="360" w:lineRule="auto"/>
        <w:rPr>
          <w:rFonts w:asciiTheme="majorBidi" w:hAnsiTheme="majorBidi" w:cstheme="majorBidi"/>
          <w:bCs/>
        </w:rPr>
      </w:pPr>
      <w:r w:rsidRPr="00BA38ED">
        <w:rPr>
          <w:rFonts w:asciiTheme="majorBidi" w:hAnsiTheme="majorBidi" w:cstheme="majorBidi"/>
          <w:bCs/>
        </w:rPr>
        <w:t>Use of crisis modifier assessment findings and adaptation of support to contextual needs.</w:t>
      </w:r>
    </w:p>
    <w:p w14:paraId="0D34698A" w14:textId="77777777" w:rsidR="00BA38ED" w:rsidRPr="00BA38ED" w:rsidRDefault="00BA38ED" w:rsidP="00BA38ED">
      <w:pPr>
        <w:pStyle w:val="ListParagraph"/>
        <w:spacing w:after="0" w:line="360" w:lineRule="auto"/>
        <w:rPr>
          <w:rFonts w:asciiTheme="majorBidi" w:hAnsiTheme="majorBidi" w:cstheme="majorBidi"/>
          <w:bCs/>
        </w:rPr>
      </w:pPr>
    </w:p>
    <w:p w14:paraId="2630FCF8" w14:textId="77777777" w:rsid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2.2 Data Sources and Tools</w:t>
      </w:r>
    </w:p>
    <w:tbl>
      <w:tblPr>
        <w:tblStyle w:val="TableGrid4"/>
        <w:tblW w:w="0" w:type="auto"/>
        <w:jc w:val="center"/>
        <w:tblLook w:val="04A0" w:firstRow="1" w:lastRow="0" w:firstColumn="1" w:lastColumn="0" w:noHBand="0" w:noVBand="1"/>
      </w:tblPr>
      <w:tblGrid>
        <w:gridCol w:w="3096"/>
        <w:gridCol w:w="3138"/>
        <w:gridCol w:w="3066"/>
      </w:tblGrid>
      <w:tr w:rsidR="00704CAA" w:rsidRPr="00704CAA" w14:paraId="1CC4DE38" w14:textId="77777777" w:rsidTr="00704CAA">
        <w:trPr>
          <w:jc w:val="center"/>
        </w:trPr>
        <w:tc>
          <w:tcPr>
            <w:tcW w:w="3408" w:type="dxa"/>
            <w:tcBorders>
              <w:top w:val="single" w:sz="24" w:space="0" w:color="FF0000"/>
              <w:left w:val="single" w:sz="24" w:space="0" w:color="FF0000"/>
            </w:tcBorders>
          </w:tcPr>
          <w:p w14:paraId="78CB9BAF" w14:textId="77777777" w:rsidR="00704CAA" w:rsidRPr="00704CAA" w:rsidRDefault="00704CAA" w:rsidP="00704CAA">
            <w:pPr>
              <w:rPr>
                <w:rFonts w:asciiTheme="majorBidi" w:hAnsiTheme="majorBidi" w:cstheme="majorBidi"/>
              </w:rPr>
            </w:pPr>
            <w:r w:rsidRPr="00704CAA">
              <w:rPr>
                <w:rFonts w:asciiTheme="majorBidi" w:hAnsiTheme="majorBidi" w:cstheme="majorBidi"/>
                <w:b/>
              </w:rPr>
              <w:t>Data Source</w:t>
            </w:r>
          </w:p>
        </w:tc>
        <w:tc>
          <w:tcPr>
            <w:tcW w:w="3408" w:type="dxa"/>
            <w:tcBorders>
              <w:top w:val="single" w:sz="24" w:space="0" w:color="FF0000"/>
            </w:tcBorders>
          </w:tcPr>
          <w:p w14:paraId="36208050" w14:textId="77777777" w:rsidR="00704CAA" w:rsidRPr="00704CAA" w:rsidRDefault="00704CAA" w:rsidP="00704CAA">
            <w:pPr>
              <w:rPr>
                <w:rFonts w:asciiTheme="majorBidi" w:hAnsiTheme="majorBidi" w:cstheme="majorBidi"/>
              </w:rPr>
            </w:pPr>
            <w:r w:rsidRPr="00704CAA">
              <w:rPr>
                <w:rFonts w:asciiTheme="majorBidi" w:hAnsiTheme="majorBidi" w:cstheme="majorBidi"/>
                <w:b/>
              </w:rPr>
              <w:t>Method/Tool</w:t>
            </w:r>
          </w:p>
        </w:tc>
        <w:tc>
          <w:tcPr>
            <w:tcW w:w="3408" w:type="dxa"/>
            <w:tcBorders>
              <w:top w:val="single" w:sz="24" w:space="0" w:color="FF0000"/>
              <w:right w:val="single" w:sz="24" w:space="0" w:color="FF0000"/>
            </w:tcBorders>
          </w:tcPr>
          <w:p w14:paraId="17E73ABB" w14:textId="77777777" w:rsidR="00704CAA" w:rsidRPr="00704CAA" w:rsidRDefault="00704CAA" w:rsidP="00704CAA">
            <w:pPr>
              <w:rPr>
                <w:rFonts w:asciiTheme="majorBidi" w:hAnsiTheme="majorBidi" w:cstheme="majorBidi"/>
              </w:rPr>
            </w:pPr>
            <w:r w:rsidRPr="00704CAA">
              <w:rPr>
                <w:rFonts w:asciiTheme="majorBidi" w:hAnsiTheme="majorBidi" w:cstheme="majorBidi"/>
                <w:b/>
              </w:rPr>
              <w:t>Purpose</w:t>
            </w:r>
          </w:p>
        </w:tc>
      </w:tr>
      <w:tr w:rsidR="00704CAA" w:rsidRPr="00704CAA" w14:paraId="4428C80A" w14:textId="77777777" w:rsidTr="00704CAA">
        <w:trPr>
          <w:jc w:val="center"/>
        </w:trPr>
        <w:tc>
          <w:tcPr>
            <w:tcW w:w="3408" w:type="dxa"/>
            <w:tcBorders>
              <w:left w:val="single" w:sz="24" w:space="0" w:color="FF0000"/>
            </w:tcBorders>
          </w:tcPr>
          <w:p w14:paraId="478DCC5B" w14:textId="77777777" w:rsidR="00704CAA" w:rsidRPr="00704CAA" w:rsidRDefault="00704CAA" w:rsidP="00704CAA">
            <w:pPr>
              <w:rPr>
                <w:rFonts w:asciiTheme="majorBidi" w:hAnsiTheme="majorBidi" w:cstheme="majorBidi"/>
              </w:rPr>
            </w:pPr>
            <w:r w:rsidRPr="00704CAA">
              <w:rPr>
                <w:rFonts w:asciiTheme="majorBidi" w:hAnsiTheme="majorBidi" w:cstheme="majorBidi"/>
              </w:rPr>
              <w:t>Household Survey (KAP)</w:t>
            </w:r>
          </w:p>
        </w:tc>
        <w:tc>
          <w:tcPr>
            <w:tcW w:w="3408" w:type="dxa"/>
          </w:tcPr>
          <w:p w14:paraId="25E599E0" w14:textId="77777777" w:rsidR="00704CAA" w:rsidRPr="00704CAA" w:rsidRDefault="00704CAA" w:rsidP="00704CAA">
            <w:pPr>
              <w:rPr>
                <w:rFonts w:asciiTheme="majorBidi" w:hAnsiTheme="majorBidi" w:cstheme="majorBidi"/>
              </w:rPr>
            </w:pPr>
            <w:r w:rsidRPr="00704CAA">
              <w:rPr>
                <w:rFonts w:asciiTheme="majorBidi" w:hAnsiTheme="majorBidi" w:cstheme="majorBidi"/>
              </w:rPr>
              <w:t>Structured questionnaires for caregivers/PLW; adolescent module optional</w:t>
            </w:r>
          </w:p>
        </w:tc>
        <w:tc>
          <w:tcPr>
            <w:tcW w:w="3408" w:type="dxa"/>
            <w:tcBorders>
              <w:right w:val="single" w:sz="24" w:space="0" w:color="FF0000"/>
            </w:tcBorders>
          </w:tcPr>
          <w:p w14:paraId="744CDF8B" w14:textId="77777777" w:rsidR="00704CAA" w:rsidRPr="00704CAA" w:rsidRDefault="00704CAA" w:rsidP="00704CAA">
            <w:pPr>
              <w:rPr>
                <w:rFonts w:asciiTheme="majorBidi" w:hAnsiTheme="majorBidi" w:cstheme="majorBidi"/>
              </w:rPr>
            </w:pPr>
            <w:r w:rsidRPr="00704CAA">
              <w:rPr>
                <w:rFonts w:asciiTheme="majorBidi" w:hAnsiTheme="majorBidi" w:cstheme="majorBidi"/>
              </w:rPr>
              <w:t>Measure endline KAP and compare with baseline values.</w:t>
            </w:r>
          </w:p>
        </w:tc>
      </w:tr>
      <w:tr w:rsidR="00704CAA" w:rsidRPr="00704CAA" w14:paraId="69A3F8DC" w14:textId="77777777" w:rsidTr="00704CAA">
        <w:trPr>
          <w:jc w:val="center"/>
        </w:trPr>
        <w:tc>
          <w:tcPr>
            <w:tcW w:w="3408" w:type="dxa"/>
            <w:tcBorders>
              <w:left w:val="single" w:sz="24" w:space="0" w:color="FF0000"/>
            </w:tcBorders>
          </w:tcPr>
          <w:p w14:paraId="6B8EFAE0" w14:textId="77777777" w:rsidR="00704CAA" w:rsidRPr="00704CAA" w:rsidRDefault="00704CAA" w:rsidP="00704CAA">
            <w:pPr>
              <w:rPr>
                <w:rFonts w:asciiTheme="majorBidi" w:hAnsiTheme="majorBidi" w:cstheme="majorBidi"/>
              </w:rPr>
            </w:pPr>
            <w:r w:rsidRPr="00704CAA">
              <w:rPr>
                <w:rFonts w:asciiTheme="majorBidi" w:hAnsiTheme="majorBidi" w:cstheme="majorBidi"/>
              </w:rPr>
              <w:t>Facility Assessment</w:t>
            </w:r>
          </w:p>
        </w:tc>
        <w:tc>
          <w:tcPr>
            <w:tcW w:w="3408" w:type="dxa"/>
          </w:tcPr>
          <w:p w14:paraId="673B5C02" w14:textId="77777777" w:rsidR="00704CAA" w:rsidRPr="00704CAA" w:rsidRDefault="00704CAA" w:rsidP="00704CAA">
            <w:pPr>
              <w:rPr>
                <w:rFonts w:asciiTheme="majorBidi" w:hAnsiTheme="majorBidi" w:cstheme="majorBidi"/>
              </w:rPr>
            </w:pPr>
            <w:r w:rsidRPr="00704CAA">
              <w:rPr>
                <w:rFonts w:asciiTheme="majorBidi" w:hAnsiTheme="majorBidi" w:cstheme="majorBidi"/>
              </w:rPr>
              <w:t xml:space="preserve">Service readiness checklist covering GBV capacity, </w:t>
            </w:r>
            <w:proofErr w:type="spellStart"/>
            <w:r w:rsidRPr="00704CAA">
              <w:rPr>
                <w:rFonts w:asciiTheme="majorBidi" w:hAnsiTheme="majorBidi" w:cstheme="majorBidi"/>
              </w:rPr>
              <w:t>BeMONC</w:t>
            </w:r>
            <w:proofErr w:type="spellEnd"/>
            <w:r w:rsidRPr="00704CAA">
              <w:rPr>
                <w:rFonts w:asciiTheme="majorBidi" w:hAnsiTheme="majorBidi" w:cstheme="majorBidi"/>
              </w:rPr>
              <w:t>, WASH/IPC, cold chain, medicines, supplies, staffing and referrals</w:t>
            </w:r>
          </w:p>
        </w:tc>
        <w:tc>
          <w:tcPr>
            <w:tcW w:w="3408" w:type="dxa"/>
            <w:tcBorders>
              <w:right w:val="single" w:sz="24" w:space="0" w:color="FF0000"/>
            </w:tcBorders>
          </w:tcPr>
          <w:p w14:paraId="6B45A3A6" w14:textId="77777777" w:rsidR="00704CAA" w:rsidRPr="00704CAA" w:rsidRDefault="00704CAA" w:rsidP="00704CAA">
            <w:pPr>
              <w:rPr>
                <w:rFonts w:asciiTheme="majorBidi" w:hAnsiTheme="majorBidi" w:cstheme="majorBidi"/>
              </w:rPr>
            </w:pPr>
            <w:r w:rsidRPr="00704CAA">
              <w:rPr>
                <w:rFonts w:asciiTheme="majorBidi" w:hAnsiTheme="majorBidi" w:cstheme="majorBidi"/>
              </w:rPr>
              <w:t>Assess current functionality, quality and readiness of supported facilities.</w:t>
            </w:r>
          </w:p>
        </w:tc>
      </w:tr>
      <w:tr w:rsidR="00704CAA" w:rsidRPr="00704CAA" w14:paraId="35A15851" w14:textId="77777777" w:rsidTr="00704CAA">
        <w:trPr>
          <w:jc w:val="center"/>
        </w:trPr>
        <w:tc>
          <w:tcPr>
            <w:tcW w:w="3408" w:type="dxa"/>
            <w:tcBorders>
              <w:left w:val="single" w:sz="24" w:space="0" w:color="FF0000"/>
            </w:tcBorders>
          </w:tcPr>
          <w:p w14:paraId="528EFCF1" w14:textId="77777777" w:rsidR="00704CAA" w:rsidRPr="00704CAA" w:rsidRDefault="00704CAA" w:rsidP="00704CAA">
            <w:pPr>
              <w:rPr>
                <w:rFonts w:asciiTheme="majorBidi" w:hAnsiTheme="majorBidi" w:cstheme="majorBidi"/>
              </w:rPr>
            </w:pPr>
            <w:r w:rsidRPr="00704CAA">
              <w:rPr>
                <w:rFonts w:asciiTheme="majorBidi" w:hAnsiTheme="majorBidi" w:cstheme="majorBidi"/>
              </w:rPr>
              <w:t>Registers/Records Review</w:t>
            </w:r>
          </w:p>
        </w:tc>
        <w:tc>
          <w:tcPr>
            <w:tcW w:w="3408" w:type="dxa"/>
          </w:tcPr>
          <w:p w14:paraId="528A8E67" w14:textId="77777777" w:rsidR="00704CAA" w:rsidRPr="00704CAA" w:rsidRDefault="00704CAA" w:rsidP="00704CAA">
            <w:pPr>
              <w:rPr>
                <w:rFonts w:asciiTheme="majorBidi" w:hAnsiTheme="majorBidi" w:cstheme="majorBidi"/>
              </w:rPr>
            </w:pPr>
            <w:r w:rsidRPr="00704CAA">
              <w:rPr>
                <w:rFonts w:asciiTheme="majorBidi" w:hAnsiTheme="majorBidi" w:cstheme="majorBidi"/>
              </w:rPr>
              <w:t xml:space="preserve">ANC, delivery, OPD, GBV/CMR, pharmacy, CMAM, </w:t>
            </w:r>
            <w:proofErr w:type="spellStart"/>
            <w:r w:rsidRPr="00704CAA">
              <w:rPr>
                <w:rFonts w:asciiTheme="majorBidi" w:hAnsiTheme="majorBidi" w:cstheme="majorBidi"/>
              </w:rPr>
              <w:t>EWaRN</w:t>
            </w:r>
            <w:proofErr w:type="spellEnd"/>
            <w:r w:rsidRPr="00704CAA">
              <w:rPr>
                <w:rFonts w:asciiTheme="majorBidi" w:hAnsiTheme="majorBidi" w:cstheme="majorBidi"/>
              </w:rPr>
              <w:t xml:space="preserve"> and crisis modifier records</w:t>
            </w:r>
          </w:p>
        </w:tc>
        <w:tc>
          <w:tcPr>
            <w:tcW w:w="3408" w:type="dxa"/>
            <w:tcBorders>
              <w:right w:val="single" w:sz="24" w:space="0" w:color="FF0000"/>
            </w:tcBorders>
          </w:tcPr>
          <w:p w14:paraId="2885F1FE" w14:textId="77777777" w:rsidR="00704CAA" w:rsidRPr="00704CAA" w:rsidRDefault="00704CAA" w:rsidP="00704CAA">
            <w:pPr>
              <w:rPr>
                <w:rFonts w:asciiTheme="majorBidi" w:hAnsiTheme="majorBidi" w:cstheme="majorBidi"/>
              </w:rPr>
            </w:pPr>
            <w:r w:rsidRPr="00704CAA">
              <w:rPr>
                <w:rFonts w:asciiTheme="majorBidi" w:hAnsiTheme="majorBidi" w:cstheme="majorBidi"/>
              </w:rPr>
              <w:t>Measure implementation-based indicators and validate reported results.</w:t>
            </w:r>
          </w:p>
        </w:tc>
      </w:tr>
      <w:tr w:rsidR="00704CAA" w:rsidRPr="00704CAA" w14:paraId="65F973B7" w14:textId="77777777" w:rsidTr="00704CAA">
        <w:trPr>
          <w:jc w:val="center"/>
        </w:trPr>
        <w:tc>
          <w:tcPr>
            <w:tcW w:w="3408" w:type="dxa"/>
            <w:tcBorders>
              <w:left w:val="single" w:sz="24" w:space="0" w:color="FF0000"/>
            </w:tcBorders>
          </w:tcPr>
          <w:p w14:paraId="09C5FA5D" w14:textId="77777777" w:rsidR="00704CAA" w:rsidRPr="00704CAA" w:rsidRDefault="00704CAA" w:rsidP="00704CAA">
            <w:pPr>
              <w:rPr>
                <w:rFonts w:asciiTheme="majorBidi" w:hAnsiTheme="majorBidi" w:cstheme="majorBidi"/>
              </w:rPr>
            </w:pPr>
            <w:r w:rsidRPr="00704CAA">
              <w:rPr>
                <w:rFonts w:asciiTheme="majorBidi" w:hAnsiTheme="majorBidi" w:cstheme="majorBidi"/>
              </w:rPr>
              <w:t>Qualitative Inquiry</w:t>
            </w:r>
          </w:p>
        </w:tc>
        <w:tc>
          <w:tcPr>
            <w:tcW w:w="3408" w:type="dxa"/>
          </w:tcPr>
          <w:p w14:paraId="0B227A96" w14:textId="77777777" w:rsidR="00704CAA" w:rsidRPr="00704CAA" w:rsidRDefault="00704CAA" w:rsidP="00704CAA">
            <w:pPr>
              <w:rPr>
                <w:rFonts w:asciiTheme="majorBidi" w:hAnsiTheme="majorBidi" w:cstheme="majorBidi"/>
              </w:rPr>
            </w:pPr>
            <w:r w:rsidRPr="00704CAA">
              <w:rPr>
                <w:rFonts w:asciiTheme="majorBidi" w:hAnsiTheme="majorBidi" w:cstheme="majorBidi"/>
              </w:rPr>
              <w:t>KIIs and FGDs with MoH, facility staff, CNVs, community leaders, women, caregivers, adolescents and persons with disabilities</w:t>
            </w:r>
          </w:p>
        </w:tc>
        <w:tc>
          <w:tcPr>
            <w:tcW w:w="3408" w:type="dxa"/>
            <w:tcBorders>
              <w:right w:val="single" w:sz="24" w:space="0" w:color="FF0000"/>
            </w:tcBorders>
          </w:tcPr>
          <w:p w14:paraId="44C573D4" w14:textId="77777777" w:rsidR="00704CAA" w:rsidRPr="00704CAA" w:rsidRDefault="00704CAA" w:rsidP="00704CAA">
            <w:pPr>
              <w:rPr>
                <w:rFonts w:asciiTheme="majorBidi" w:hAnsiTheme="majorBidi" w:cstheme="majorBidi"/>
              </w:rPr>
            </w:pPr>
            <w:r w:rsidRPr="00704CAA">
              <w:rPr>
                <w:rFonts w:asciiTheme="majorBidi" w:hAnsiTheme="majorBidi" w:cstheme="majorBidi"/>
              </w:rPr>
              <w:t>Explore perceived changes, barriers, enablers, quality, sustainability and lessons learned.</w:t>
            </w:r>
          </w:p>
        </w:tc>
      </w:tr>
      <w:tr w:rsidR="00704CAA" w:rsidRPr="00704CAA" w14:paraId="340736D5" w14:textId="77777777" w:rsidTr="00704CAA">
        <w:trPr>
          <w:jc w:val="center"/>
        </w:trPr>
        <w:tc>
          <w:tcPr>
            <w:tcW w:w="3408" w:type="dxa"/>
            <w:tcBorders>
              <w:left w:val="single" w:sz="24" w:space="0" w:color="FF0000"/>
              <w:bottom w:val="single" w:sz="24" w:space="0" w:color="FF0000"/>
            </w:tcBorders>
          </w:tcPr>
          <w:p w14:paraId="2DD91C4E" w14:textId="77777777" w:rsidR="00704CAA" w:rsidRPr="00704CAA" w:rsidRDefault="00704CAA" w:rsidP="00704CAA">
            <w:pPr>
              <w:rPr>
                <w:rFonts w:asciiTheme="majorBidi" w:hAnsiTheme="majorBidi" w:cstheme="majorBidi"/>
              </w:rPr>
            </w:pPr>
            <w:r w:rsidRPr="00704CAA">
              <w:rPr>
                <w:rFonts w:asciiTheme="majorBidi" w:hAnsiTheme="majorBidi" w:cstheme="majorBidi"/>
              </w:rPr>
              <w:t>AAP &amp; Feedback Mechanisms</w:t>
            </w:r>
          </w:p>
        </w:tc>
        <w:tc>
          <w:tcPr>
            <w:tcW w:w="3408" w:type="dxa"/>
            <w:tcBorders>
              <w:bottom w:val="single" w:sz="24" w:space="0" w:color="FF0000"/>
            </w:tcBorders>
          </w:tcPr>
          <w:p w14:paraId="7D1FBA98" w14:textId="77777777" w:rsidR="00704CAA" w:rsidRPr="00704CAA" w:rsidRDefault="00704CAA" w:rsidP="00704CAA">
            <w:pPr>
              <w:rPr>
                <w:rFonts w:asciiTheme="majorBidi" w:hAnsiTheme="majorBidi" w:cstheme="majorBidi"/>
              </w:rPr>
            </w:pPr>
            <w:r w:rsidRPr="00704CAA">
              <w:rPr>
                <w:rFonts w:asciiTheme="majorBidi" w:hAnsiTheme="majorBidi" w:cstheme="majorBidi"/>
              </w:rPr>
              <w:t>Perception survey and review of feedback/complaints data</w:t>
            </w:r>
          </w:p>
        </w:tc>
        <w:tc>
          <w:tcPr>
            <w:tcW w:w="3408" w:type="dxa"/>
            <w:tcBorders>
              <w:bottom w:val="single" w:sz="24" w:space="0" w:color="FF0000"/>
              <w:right w:val="single" w:sz="24" w:space="0" w:color="FF0000"/>
            </w:tcBorders>
          </w:tcPr>
          <w:p w14:paraId="45464664" w14:textId="77777777" w:rsidR="00704CAA" w:rsidRPr="00704CAA" w:rsidRDefault="00704CAA" w:rsidP="00704CAA">
            <w:pPr>
              <w:rPr>
                <w:rFonts w:asciiTheme="majorBidi" w:hAnsiTheme="majorBidi" w:cstheme="majorBidi"/>
              </w:rPr>
            </w:pPr>
            <w:r w:rsidRPr="00704CAA">
              <w:rPr>
                <w:rFonts w:asciiTheme="majorBidi" w:hAnsiTheme="majorBidi" w:cstheme="majorBidi"/>
              </w:rPr>
              <w:t>Assess accountability, inclusiveness, responsiveness and community satisfaction.</w:t>
            </w:r>
          </w:p>
        </w:tc>
      </w:tr>
    </w:tbl>
    <w:p w14:paraId="2CBD6BF2" w14:textId="77777777" w:rsidR="00704CAA" w:rsidRDefault="00704CAA" w:rsidP="00613641">
      <w:pPr>
        <w:spacing w:after="0" w:line="360" w:lineRule="auto"/>
        <w:rPr>
          <w:rFonts w:asciiTheme="majorBidi" w:hAnsiTheme="majorBidi" w:cstheme="majorBidi"/>
          <w:b/>
        </w:rPr>
      </w:pPr>
    </w:p>
    <w:p w14:paraId="12F915F2" w14:textId="77777777" w:rsidR="00704CAA" w:rsidRPr="00613641" w:rsidRDefault="00704CAA" w:rsidP="00613641">
      <w:pPr>
        <w:spacing w:after="0" w:line="360" w:lineRule="auto"/>
        <w:rPr>
          <w:rFonts w:asciiTheme="majorBidi" w:hAnsiTheme="majorBidi" w:cstheme="majorBidi"/>
          <w:b/>
        </w:rPr>
      </w:pPr>
    </w:p>
    <w:p w14:paraId="35362E7E"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2.3 Sampling Strategy</w:t>
      </w:r>
    </w:p>
    <w:p w14:paraId="7AA25D14" w14:textId="77777777" w:rsidR="00613641" w:rsidRPr="00704CAA" w:rsidRDefault="00613641" w:rsidP="00704CAA">
      <w:pPr>
        <w:spacing w:after="0" w:line="360" w:lineRule="auto"/>
        <w:jc w:val="both"/>
        <w:rPr>
          <w:rFonts w:asciiTheme="majorBidi" w:hAnsiTheme="majorBidi" w:cstheme="majorBidi"/>
          <w:bCs/>
        </w:rPr>
      </w:pPr>
      <w:r w:rsidRPr="00704CAA">
        <w:rPr>
          <w:rFonts w:asciiTheme="majorBidi" w:hAnsiTheme="majorBidi" w:cstheme="majorBidi"/>
          <w:bCs/>
        </w:rPr>
        <w:t>The endline will use a multi-method sampling approach aligned as closely as possible with the baseline design. For the household survey, a two-stage cluster sampling approach will be used, selecting clusters proportionally to population size and households systematically within selected clusters. A sample of approximately 200 households per state (around 400 overall) is recommended to support comparison with baseline values while remaining feasible in insecure and hard-to-reach contexts. The survey will target caregivers of children under five and pregnant or lactating women, with data disaggregated by sex, age, disability and geography.</w:t>
      </w:r>
    </w:p>
    <w:p w14:paraId="41D9C924" w14:textId="77777777" w:rsidR="00613641" w:rsidRPr="00704CAA" w:rsidRDefault="00613641" w:rsidP="00704CAA">
      <w:pPr>
        <w:spacing w:after="0" w:line="360" w:lineRule="auto"/>
        <w:jc w:val="both"/>
        <w:rPr>
          <w:rFonts w:asciiTheme="majorBidi" w:hAnsiTheme="majorBidi" w:cstheme="majorBidi"/>
          <w:bCs/>
        </w:rPr>
      </w:pPr>
      <w:r w:rsidRPr="00704CAA">
        <w:rPr>
          <w:rFonts w:asciiTheme="majorBidi" w:hAnsiTheme="majorBidi" w:cstheme="majorBidi"/>
          <w:bCs/>
        </w:rPr>
        <w:t xml:space="preserve">All five project-supported PHCCs will be assessed through a facility census. A purposive sample of </w:t>
      </w:r>
      <w:proofErr w:type="spellStart"/>
      <w:r w:rsidRPr="00704CAA">
        <w:rPr>
          <w:rFonts w:asciiTheme="majorBidi" w:hAnsiTheme="majorBidi" w:cstheme="majorBidi"/>
          <w:bCs/>
        </w:rPr>
        <w:t>iCCM</w:t>
      </w:r>
      <w:proofErr w:type="spellEnd"/>
      <w:r w:rsidRPr="00704CAA">
        <w:rPr>
          <w:rFonts w:asciiTheme="majorBidi" w:hAnsiTheme="majorBidi" w:cstheme="majorBidi"/>
          <w:bCs/>
        </w:rPr>
        <w:t xml:space="preserve"> or community outreach sites may be included where relevant. For the qualitative component, approximately 6–8 KIIs and 3–4 FGDs per state will be conducted with health officials, facility staff, CHWs/CNVs, GBV focal points, community leaders, caregivers, and community members, including persons with disabilities where feasible.</w:t>
      </w:r>
    </w:p>
    <w:p w14:paraId="5B06541A" w14:textId="77777777" w:rsidR="00613641" w:rsidRPr="00861B21" w:rsidRDefault="00613641" w:rsidP="00704CAA">
      <w:pPr>
        <w:spacing w:after="0" w:line="360" w:lineRule="auto"/>
        <w:jc w:val="both"/>
        <w:rPr>
          <w:rFonts w:asciiTheme="majorBidi" w:hAnsiTheme="majorBidi" w:cstheme="majorBidi"/>
          <w:b/>
        </w:rPr>
      </w:pPr>
      <w:r w:rsidRPr="00861B21">
        <w:rPr>
          <w:rFonts w:asciiTheme="majorBidi" w:hAnsiTheme="majorBidi" w:cstheme="majorBidi"/>
          <w:b/>
        </w:rPr>
        <w:t>2.4 Data Collection and Quality Assurance</w:t>
      </w:r>
    </w:p>
    <w:p w14:paraId="1CD5441C"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a. Digital Data Collection:</w:t>
      </w:r>
    </w:p>
    <w:p w14:paraId="3CA2B7C5" w14:textId="77777777" w:rsidR="00613641" w:rsidRPr="00902CAA" w:rsidRDefault="00613641" w:rsidP="00902CAA">
      <w:pPr>
        <w:spacing w:after="0" w:line="360" w:lineRule="auto"/>
        <w:jc w:val="both"/>
        <w:rPr>
          <w:rFonts w:asciiTheme="majorBidi" w:hAnsiTheme="majorBidi" w:cstheme="majorBidi"/>
          <w:bCs/>
        </w:rPr>
      </w:pPr>
      <w:r w:rsidRPr="00902CAA">
        <w:rPr>
          <w:rFonts w:asciiTheme="majorBidi" w:hAnsiTheme="majorBidi" w:cstheme="majorBidi"/>
          <w:bCs/>
        </w:rPr>
        <w:t xml:space="preserve">Data will be collected using </w:t>
      </w:r>
      <w:proofErr w:type="spellStart"/>
      <w:r w:rsidRPr="00902CAA">
        <w:rPr>
          <w:rFonts w:asciiTheme="majorBidi" w:hAnsiTheme="majorBidi" w:cstheme="majorBidi"/>
          <w:bCs/>
        </w:rPr>
        <w:t>KoBoToolbox</w:t>
      </w:r>
      <w:proofErr w:type="spellEnd"/>
      <w:r w:rsidRPr="00902CAA">
        <w:rPr>
          <w:rFonts w:asciiTheme="majorBidi" w:hAnsiTheme="majorBidi" w:cstheme="majorBidi"/>
          <w:bCs/>
        </w:rPr>
        <w:t xml:space="preserve"> or ODK on tablets, with real-time validation, skip logic, unique identifiers, and GPS stamping where safe and appropriate. Offline forms may be used where connectivity or security conditions require.</w:t>
      </w:r>
    </w:p>
    <w:p w14:paraId="4970D2FD" w14:textId="77777777" w:rsidR="00613641" w:rsidRPr="00902CAA" w:rsidRDefault="00613641" w:rsidP="00613641">
      <w:pPr>
        <w:spacing w:after="0" w:line="360" w:lineRule="auto"/>
        <w:rPr>
          <w:rFonts w:asciiTheme="majorBidi" w:hAnsiTheme="majorBidi" w:cstheme="majorBidi"/>
          <w:b/>
        </w:rPr>
      </w:pPr>
      <w:r w:rsidRPr="00902CAA">
        <w:rPr>
          <w:rFonts w:asciiTheme="majorBidi" w:hAnsiTheme="majorBidi" w:cstheme="majorBidi"/>
          <w:b/>
        </w:rPr>
        <w:t>b. Enumerator Training and Piloting:</w:t>
      </w:r>
    </w:p>
    <w:p w14:paraId="085B0643" w14:textId="77777777" w:rsidR="00613641" w:rsidRPr="00613641" w:rsidRDefault="00613641" w:rsidP="00902CAA">
      <w:pPr>
        <w:spacing w:after="0" w:line="360" w:lineRule="auto"/>
        <w:jc w:val="both"/>
        <w:rPr>
          <w:rFonts w:asciiTheme="majorBidi" w:hAnsiTheme="majorBidi" w:cstheme="majorBidi"/>
          <w:b/>
        </w:rPr>
      </w:pPr>
      <w:r w:rsidRPr="00902CAA">
        <w:rPr>
          <w:rFonts w:asciiTheme="majorBidi" w:hAnsiTheme="majorBidi" w:cstheme="majorBidi"/>
          <w:bCs/>
        </w:rPr>
        <w:t>Enumerators and supervisors will receive training covering research ethics, informed consent, safeguarding, GBV sensitivity, disability inclusion, referral protocols, endline indicator definitions, tool piloting, and data quality procedures</w:t>
      </w:r>
      <w:r w:rsidRPr="00613641">
        <w:rPr>
          <w:rFonts w:asciiTheme="majorBidi" w:hAnsiTheme="majorBidi" w:cstheme="majorBidi"/>
          <w:b/>
        </w:rPr>
        <w:t>.</w:t>
      </w:r>
    </w:p>
    <w:p w14:paraId="270BDD5B"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c. Quality Control Measures:</w:t>
      </w:r>
    </w:p>
    <w:p w14:paraId="0D37BB90" w14:textId="072704D1" w:rsidR="00613641" w:rsidRPr="00902CAA" w:rsidRDefault="00613641" w:rsidP="00902CAA">
      <w:pPr>
        <w:pStyle w:val="ListParagraph"/>
        <w:numPr>
          <w:ilvl w:val="0"/>
          <w:numId w:val="41"/>
        </w:numPr>
        <w:spacing w:after="0" w:line="360" w:lineRule="auto"/>
        <w:rPr>
          <w:rFonts w:asciiTheme="majorBidi" w:hAnsiTheme="majorBidi" w:cstheme="majorBidi"/>
          <w:bCs/>
        </w:rPr>
      </w:pPr>
      <w:r w:rsidRPr="00902CAA">
        <w:rPr>
          <w:rFonts w:asciiTheme="majorBidi" w:hAnsiTheme="majorBidi" w:cstheme="majorBidi"/>
          <w:bCs/>
        </w:rPr>
        <w:t>Daily review of submissions by supervisors and MEAL focal points.</w:t>
      </w:r>
    </w:p>
    <w:p w14:paraId="2E232C13" w14:textId="69FB3B43" w:rsidR="00613641" w:rsidRPr="00902CAA" w:rsidRDefault="00613641" w:rsidP="00902CAA">
      <w:pPr>
        <w:pStyle w:val="ListParagraph"/>
        <w:numPr>
          <w:ilvl w:val="0"/>
          <w:numId w:val="41"/>
        </w:numPr>
        <w:spacing w:after="0" w:line="360" w:lineRule="auto"/>
        <w:rPr>
          <w:rFonts w:asciiTheme="majorBidi" w:hAnsiTheme="majorBidi" w:cstheme="majorBidi"/>
          <w:bCs/>
        </w:rPr>
      </w:pPr>
      <w:r w:rsidRPr="00902CAA">
        <w:rPr>
          <w:rFonts w:asciiTheme="majorBidi" w:hAnsiTheme="majorBidi" w:cstheme="majorBidi"/>
          <w:bCs/>
        </w:rPr>
        <w:t>10% back-checks and 5% spot-checks, where feasible and safe.</w:t>
      </w:r>
    </w:p>
    <w:p w14:paraId="165EA78D" w14:textId="0FB64A3F" w:rsidR="00613641" w:rsidRPr="00902CAA" w:rsidRDefault="00613641" w:rsidP="00902CAA">
      <w:pPr>
        <w:pStyle w:val="ListParagraph"/>
        <w:numPr>
          <w:ilvl w:val="0"/>
          <w:numId w:val="41"/>
        </w:numPr>
        <w:spacing w:after="0" w:line="360" w:lineRule="auto"/>
        <w:rPr>
          <w:rFonts w:asciiTheme="majorBidi" w:hAnsiTheme="majorBidi" w:cstheme="majorBidi"/>
          <w:bCs/>
        </w:rPr>
      </w:pPr>
      <w:r w:rsidRPr="00902CAA">
        <w:rPr>
          <w:rFonts w:asciiTheme="majorBidi" w:hAnsiTheme="majorBidi" w:cstheme="majorBidi"/>
          <w:bCs/>
        </w:rPr>
        <w:t>Automated error detection, range checks, skip logic, and consistency checks.</w:t>
      </w:r>
    </w:p>
    <w:p w14:paraId="484E8D1C" w14:textId="5CC42982" w:rsidR="00613641" w:rsidRPr="00902CAA" w:rsidRDefault="00613641" w:rsidP="00902CAA">
      <w:pPr>
        <w:pStyle w:val="ListParagraph"/>
        <w:numPr>
          <w:ilvl w:val="0"/>
          <w:numId w:val="41"/>
        </w:numPr>
        <w:spacing w:after="0" w:line="360" w:lineRule="auto"/>
        <w:rPr>
          <w:rFonts w:asciiTheme="majorBidi" w:hAnsiTheme="majorBidi" w:cstheme="majorBidi"/>
          <w:bCs/>
        </w:rPr>
      </w:pPr>
      <w:r w:rsidRPr="00902CAA">
        <w:rPr>
          <w:rFonts w:asciiTheme="majorBidi" w:hAnsiTheme="majorBidi" w:cstheme="majorBidi"/>
          <w:bCs/>
        </w:rPr>
        <w:t>Random verification of sampled clusters and review of routine service records.</w:t>
      </w:r>
    </w:p>
    <w:p w14:paraId="0888508E"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d. Ethical Considerations:</w:t>
      </w:r>
    </w:p>
    <w:p w14:paraId="708701D8" w14:textId="36379010" w:rsidR="00613641" w:rsidRPr="0084237E" w:rsidRDefault="00613641" w:rsidP="0084237E">
      <w:pPr>
        <w:pStyle w:val="ListParagraph"/>
        <w:numPr>
          <w:ilvl w:val="0"/>
          <w:numId w:val="42"/>
        </w:numPr>
        <w:spacing w:after="0" w:line="360" w:lineRule="auto"/>
        <w:rPr>
          <w:rFonts w:asciiTheme="majorBidi" w:hAnsiTheme="majorBidi" w:cstheme="majorBidi"/>
          <w:bCs/>
        </w:rPr>
      </w:pPr>
      <w:r w:rsidRPr="0084237E">
        <w:rPr>
          <w:rFonts w:asciiTheme="majorBidi" w:hAnsiTheme="majorBidi" w:cstheme="majorBidi"/>
          <w:bCs/>
        </w:rPr>
        <w:t>Informed consent/assent obtained for all participants.</w:t>
      </w:r>
    </w:p>
    <w:p w14:paraId="065EA665" w14:textId="3A168A0C" w:rsidR="00613641" w:rsidRPr="0084237E" w:rsidRDefault="00613641" w:rsidP="0084237E">
      <w:pPr>
        <w:pStyle w:val="ListParagraph"/>
        <w:numPr>
          <w:ilvl w:val="0"/>
          <w:numId w:val="42"/>
        </w:numPr>
        <w:spacing w:after="0" w:line="360" w:lineRule="auto"/>
        <w:rPr>
          <w:rFonts w:asciiTheme="majorBidi" w:hAnsiTheme="majorBidi" w:cstheme="majorBidi"/>
          <w:bCs/>
        </w:rPr>
      </w:pPr>
      <w:r w:rsidRPr="0084237E">
        <w:rPr>
          <w:rFonts w:asciiTheme="majorBidi" w:hAnsiTheme="majorBidi" w:cstheme="majorBidi"/>
          <w:bCs/>
        </w:rPr>
        <w:t>Confidentiality strictly maintained and no identifiable sensitive data disclosed.</w:t>
      </w:r>
    </w:p>
    <w:p w14:paraId="78222BF5" w14:textId="5120A3E4" w:rsidR="00613641" w:rsidRPr="0084237E" w:rsidRDefault="00613641" w:rsidP="0084237E">
      <w:pPr>
        <w:pStyle w:val="ListParagraph"/>
        <w:numPr>
          <w:ilvl w:val="0"/>
          <w:numId w:val="42"/>
        </w:numPr>
        <w:spacing w:after="0" w:line="360" w:lineRule="auto"/>
        <w:rPr>
          <w:rFonts w:asciiTheme="majorBidi" w:hAnsiTheme="majorBidi" w:cstheme="majorBidi"/>
          <w:bCs/>
        </w:rPr>
      </w:pPr>
      <w:r w:rsidRPr="0084237E">
        <w:rPr>
          <w:rFonts w:asciiTheme="majorBidi" w:hAnsiTheme="majorBidi" w:cstheme="majorBidi"/>
          <w:bCs/>
        </w:rPr>
        <w:lastRenderedPageBreak/>
        <w:t>GBV referral pathways activated where disclosures occur.</w:t>
      </w:r>
    </w:p>
    <w:p w14:paraId="51FD49D8" w14:textId="5C2633AC" w:rsidR="00613641" w:rsidRPr="0084237E" w:rsidRDefault="00613641" w:rsidP="0084237E">
      <w:pPr>
        <w:pStyle w:val="ListParagraph"/>
        <w:numPr>
          <w:ilvl w:val="0"/>
          <w:numId w:val="42"/>
        </w:numPr>
        <w:spacing w:after="0" w:line="360" w:lineRule="auto"/>
        <w:rPr>
          <w:rFonts w:asciiTheme="majorBidi" w:hAnsiTheme="majorBidi" w:cstheme="majorBidi"/>
          <w:b/>
        </w:rPr>
      </w:pPr>
      <w:r w:rsidRPr="0084237E">
        <w:rPr>
          <w:rFonts w:asciiTheme="majorBidi" w:hAnsiTheme="majorBidi" w:cstheme="majorBidi"/>
          <w:bCs/>
        </w:rPr>
        <w:t>Procedures aligned with Do No Harm, SCI safeguarding principles, and conflict-sensitive data collection practices</w:t>
      </w:r>
      <w:r w:rsidRPr="0084237E">
        <w:rPr>
          <w:rFonts w:asciiTheme="majorBidi" w:hAnsiTheme="majorBidi" w:cstheme="majorBidi"/>
          <w:b/>
        </w:rPr>
        <w:t>.</w:t>
      </w:r>
    </w:p>
    <w:p w14:paraId="7D06B669"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2.5 Data Analysis</w:t>
      </w:r>
    </w:p>
    <w:p w14:paraId="0590DD46"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Quantitative Analysis:</w:t>
      </w:r>
    </w:p>
    <w:p w14:paraId="2185751D" w14:textId="2B6AB670" w:rsidR="00613641" w:rsidRPr="0084237E" w:rsidRDefault="00613641" w:rsidP="0084237E">
      <w:pPr>
        <w:pStyle w:val="ListParagraph"/>
        <w:numPr>
          <w:ilvl w:val="0"/>
          <w:numId w:val="43"/>
        </w:numPr>
        <w:spacing w:after="0" w:line="360" w:lineRule="auto"/>
        <w:rPr>
          <w:rFonts w:asciiTheme="majorBidi" w:hAnsiTheme="majorBidi" w:cstheme="majorBidi"/>
          <w:bCs/>
        </w:rPr>
      </w:pPr>
      <w:r w:rsidRPr="0084237E">
        <w:rPr>
          <w:rFonts w:asciiTheme="majorBidi" w:hAnsiTheme="majorBidi" w:cstheme="majorBidi"/>
          <w:bCs/>
        </w:rPr>
        <w:t>Descriptive statistics, frequency distributions, and 95% confidence intervals.</w:t>
      </w:r>
    </w:p>
    <w:p w14:paraId="17EA933C" w14:textId="7F04872B" w:rsidR="00613641" w:rsidRPr="0084237E" w:rsidRDefault="00613641" w:rsidP="0084237E">
      <w:pPr>
        <w:pStyle w:val="ListParagraph"/>
        <w:numPr>
          <w:ilvl w:val="0"/>
          <w:numId w:val="43"/>
        </w:numPr>
        <w:spacing w:after="0" w:line="360" w:lineRule="auto"/>
        <w:rPr>
          <w:rFonts w:asciiTheme="majorBidi" w:hAnsiTheme="majorBidi" w:cstheme="majorBidi"/>
          <w:bCs/>
        </w:rPr>
      </w:pPr>
      <w:r w:rsidRPr="0084237E">
        <w:rPr>
          <w:rFonts w:asciiTheme="majorBidi" w:hAnsiTheme="majorBidi" w:cstheme="majorBidi"/>
          <w:bCs/>
        </w:rPr>
        <w:t>Baseline-to-endline comparison for comparable indicators, including absolute and percentage-point changes.</w:t>
      </w:r>
    </w:p>
    <w:p w14:paraId="1D1F1308" w14:textId="1C9ADAAA" w:rsidR="00613641" w:rsidRPr="0084237E" w:rsidRDefault="00613641" w:rsidP="0084237E">
      <w:pPr>
        <w:pStyle w:val="ListParagraph"/>
        <w:numPr>
          <w:ilvl w:val="0"/>
          <w:numId w:val="43"/>
        </w:numPr>
        <w:spacing w:after="0" w:line="360" w:lineRule="auto"/>
        <w:rPr>
          <w:rFonts w:asciiTheme="majorBidi" w:hAnsiTheme="majorBidi" w:cstheme="majorBidi"/>
          <w:bCs/>
        </w:rPr>
      </w:pPr>
      <w:r w:rsidRPr="0084237E">
        <w:rPr>
          <w:rFonts w:asciiTheme="majorBidi" w:hAnsiTheme="majorBidi" w:cstheme="majorBidi"/>
          <w:bCs/>
        </w:rPr>
        <w:t>Indicator-specific calculations for health, nutrition, AAP, and crisis modifier results.</w:t>
      </w:r>
    </w:p>
    <w:p w14:paraId="4C29D027" w14:textId="12EF7E0A" w:rsidR="00613641" w:rsidRPr="0084237E" w:rsidRDefault="00613641" w:rsidP="0084237E">
      <w:pPr>
        <w:pStyle w:val="ListParagraph"/>
        <w:numPr>
          <w:ilvl w:val="0"/>
          <w:numId w:val="43"/>
        </w:numPr>
        <w:spacing w:after="0" w:line="360" w:lineRule="auto"/>
        <w:rPr>
          <w:rFonts w:asciiTheme="majorBidi" w:hAnsiTheme="majorBidi" w:cstheme="majorBidi"/>
          <w:bCs/>
        </w:rPr>
      </w:pPr>
      <w:r w:rsidRPr="0084237E">
        <w:rPr>
          <w:rFonts w:asciiTheme="majorBidi" w:hAnsiTheme="majorBidi" w:cstheme="majorBidi"/>
          <w:bCs/>
        </w:rPr>
        <w:t>Disaggregation by sex, age, disability, geography, and population group where feasible.</w:t>
      </w:r>
    </w:p>
    <w:p w14:paraId="7B23557C" w14:textId="3AF277CF" w:rsidR="00613641" w:rsidRPr="0084237E" w:rsidRDefault="00613641" w:rsidP="0084237E">
      <w:pPr>
        <w:pStyle w:val="ListParagraph"/>
        <w:numPr>
          <w:ilvl w:val="0"/>
          <w:numId w:val="43"/>
        </w:numPr>
        <w:spacing w:after="0" w:line="360" w:lineRule="auto"/>
        <w:rPr>
          <w:rFonts w:asciiTheme="majorBidi" w:hAnsiTheme="majorBidi" w:cstheme="majorBidi"/>
          <w:bCs/>
        </w:rPr>
      </w:pPr>
      <w:r w:rsidRPr="0084237E">
        <w:rPr>
          <w:rFonts w:asciiTheme="majorBidi" w:hAnsiTheme="majorBidi" w:cstheme="majorBidi"/>
          <w:bCs/>
        </w:rPr>
        <w:t>Weighted estimates to adjust for cluster sampling where appropriate.</w:t>
      </w:r>
    </w:p>
    <w:p w14:paraId="159376C7"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Qualitative Analysis:</w:t>
      </w:r>
    </w:p>
    <w:p w14:paraId="5540662A" w14:textId="29E0FF9D" w:rsidR="00613641" w:rsidRPr="0084237E" w:rsidRDefault="00613641" w:rsidP="0084237E">
      <w:pPr>
        <w:pStyle w:val="ListParagraph"/>
        <w:numPr>
          <w:ilvl w:val="0"/>
          <w:numId w:val="44"/>
        </w:numPr>
        <w:spacing w:after="0" w:line="360" w:lineRule="auto"/>
        <w:rPr>
          <w:rFonts w:asciiTheme="majorBidi" w:hAnsiTheme="majorBidi" w:cstheme="majorBidi"/>
          <w:bCs/>
        </w:rPr>
      </w:pPr>
      <w:r w:rsidRPr="0084237E">
        <w:rPr>
          <w:rFonts w:asciiTheme="majorBidi" w:hAnsiTheme="majorBidi" w:cstheme="majorBidi"/>
          <w:bCs/>
        </w:rPr>
        <w:t>Thematic coding guided by KAP domains, access, quality, equity, accountability and contribution-analysis themes.</w:t>
      </w:r>
    </w:p>
    <w:p w14:paraId="229C4A1A" w14:textId="18324C5B" w:rsidR="00613641" w:rsidRPr="0084237E" w:rsidRDefault="00613641" w:rsidP="0084237E">
      <w:pPr>
        <w:pStyle w:val="ListParagraph"/>
        <w:numPr>
          <w:ilvl w:val="0"/>
          <w:numId w:val="44"/>
        </w:numPr>
        <w:spacing w:after="0" w:line="360" w:lineRule="auto"/>
        <w:rPr>
          <w:rFonts w:asciiTheme="majorBidi" w:hAnsiTheme="majorBidi" w:cstheme="majorBidi"/>
          <w:bCs/>
        </w:rPr>
      </w:pPr>
      <w:r w:rsidRPr="0084237E">
        <w:rPr>
          <w:rFonts w:asciiTheme="majorBidi" w:hAnsiTheme="majorBidi" w:cstheme="majorBidi"/>
          <w:bCs/>
        </w:rPr>
        <w:t>Triangulation with quantitative findings, routine monitoring data, facility records, and baseline findings.</w:t>
      </w:r>
    </w:p>
    <w:p w14:paraId="60D3900D" w14:textId="3685701A" w:rsidR="00613641" w:rsidRPr="0084237E" w:rsidRDefault="00613641" w:rsidP="0084237E">
      <w:pPr>
        <w:pStyle w:val="ListParagraph"/>
        <w:numPr>
          <w:ilvl w:val="0"/>
          <w:numId w:val="44"/>
        </w:numPr>
        <w:spacing w:after="0" w:line="360" w:lineRule="auto"/>
        <w:rPr>
          <w:rFonts w:asciiTheme="majorBidi" w:hAnsiTheme="majorBidi" w:cstheme="majorBidi"/>
          <w:bCs/>
        </w:rPr>
      </w:pPr>
      <w:r w:rsidRPr="0084237E">
        <w:rPr>
          <w:rFonts w:asciiTheme="majorBidi" w:hAnsiTheme="majorBidi" w:cstheme="majorBidi"/>
          <w:bCs/>
        </w:rPr>
        <w:t>Identification of lessons learned, sustainability factors, and practical recommendations.</w:t>
      </w:r>
    </w:p>
    <w:p w14:paraId="2F4A1CF0"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2.6 Data Triangulation and Validation</w:t>
      </w:r>
    </w:p>
    <w:p w14:paraId="4944F156" w14:textId="77777777" w:rsidR="00613641" w:rsidRPr="00EC7BAE" w:rsidRDefault="00613641" w:rsidP="00EC7BAE">
      <w:pPr>
        <w:spacing w:after="0" w:line="360" w:lineRule="auto"/>
        <w:jc w:val="both"/>
        <w:rPr>
          <w:rFonts w:asciiTheme="majorBidi" w:hAnsiTheme="majorBidi" w:cstheme="majorBidi"/>
          <w:bCs/>
        </w:rPr>
      </w:pPr>
      <w:r w:rsidRPr="00EC7BAE">
        <w:rPr>
          <w:rFonts w:asciiTheme="majorBidi" w:hAnsiTheme="majorBidi" w:cstheme="majorBidi"/>
          <w:bCs/>
        </w:rPr>
        <w:t>Preliminary findings will be triangulated across household surveys, facility assessments, registers, routine monitoring data, qualitative evidence, and baseline values. A validation workshop will be conducted with project teams, MoH, partners, and community representatives to review findings, confirm interpretations, and agree on learning and recommendations for future programming.</w:t>
      </w:r>
    </w:p>
    <w:p w14:paraId="74EB5B63"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2.7 Deliverables</w:t>
      </w:r>
    </w:p>
    <w:p w14:paraId="041DDB6E" w14:textId="4F9E4A09" w:rsidR="00613641" w:rsidRPr="00EC7BAE" w:rsidRDefault="00613641" w:rsidP="00EC7BAE">
      <w:pPr>
        <w:pStyle w:val="ListParagraph"/>
        <w:numPr>
          <w:ilvl w:val="0"/>
          <w:numId w:val="45"/>
        </w:numPr>
        <w:spacing w:after="0" w:line="360" w:lineRule="auto"/>
        <w:jc w:val="both"/>
        <w:rPr>
          <w:rFonts w:asciiTheme="majorBidi" w:hAnsiTheme="majorBidi" w:cstheme="majorBidi"/>
          <w:bCs/>
        </w:rPr>
      </w:pPr>
      <w:r w:rsidRPr="00EC7BAE">
        <w:rPr>
          <w:rFonts w:asciiTheme="majorBidi" w:hAnsiTheme="majorBidi" w:cstheme="majorBidi"/>
          <w:bCs/>
        </w:rPr>
        <w:t>Inception Report: Detailing endline methodology, sampling, tools, indicator matrix, analysis plan, work plan, and ethical considerations.</w:t>
      </w:r>
    </w:p>
    <w:p w14:paraId="0877C52F" w14:textId="6B88E448" w:rsidR="00613641" w:rsidRPr="00EC7BAE" w:rsidRDefault="00613641" w:rsidP="00EC7BAE">
      <w:pPr>
        <w:pStyle w:val="ListParagraph"/>
        <w:numPr>
          <w:ilvl w:val="0"/>
          <w:numId w:val="45"/>
        </w:numPr>
        <w:spacing w:after="0" w:line="360" w:lineRule="auto"/>
        <w:jc w:val="both"/>
        <w:rPr>
          <w:rFonts w:asciiTheme="majorBidi" w:hAnsiTheme="majorBidi" w:cstheme="majorBidi"/>
          <w:bCs/>
        </w:rPr>
      </w:pPr>
      <w:r w:rsidRPr="00EC7BAE">
        <w:rPr>
          <w:rFonts w:asciiTheme="majorBidi" w:hAnsiTheme="majorBidi" w:cstheme="majorBidi"/>
          <w:bCs/>
        </w:rPr>
        <w:t>Clean Datasets &amp; Codebooks: Household, facility, routine records, CMAM, AAP and qualitative data files where applicable.</w:t>
      </w:r>
    </w:p>
    <w:p w14:paraId="75D454B8" w14:textId="71094419" w:rsidR="00613641" w:rsidRPr="00EC7BAE" w:rsidRDefault="00613641" w:rsidP="00EC7BAE">
      <w:pPr>
        <w:pStyle w:val="ListParagraph"/>
        <w:numPr>
          <w:ilvl w:val="0"/>
          <w:numId w:val="45"/>
        </w:numPr>
        <w:spacing w:after="0" w:line="360" w:lineRule="auto"/>
        <w:jc w:val="both"/>
        <w:rPr>
          <w:rFonts w:asciiTheme="majorBidi" w:hAnsiTheme="majorBidi" w:cstheme="majorBidi"/>
          <w:bCs/>
        </w:rPr>
      </w:pPr>
      <w:r w:rsidRPr="00EC7BAE">
        <w:rPr>
          <w:rFonts w:asciiTheme="majorBidi" w:hAnsiTheme="majorBidi" w:cstheme="majorBidi"/>
          <w:bCs/>
        </w:rPr>
        <w:t>Endline Report: Including endline indicator values, comparison with baseline and targets, 95% confidence intervals where applicable, KAP analysis, equity analysis, contribution analysis, lessons learned, and recommendations.</w:t>
      </w:r>
    </w:p>
    <w:p w14:paraId="6DC2FCF8" w14:textId="2FC3831D" w:rsidR="00613641" w:rsidRPr="00190E90" w:rsidRDefault="00613641" w:rsidP="00190E90">
      <w:pPr>
        <w:pStyle w:val="ListParagraph"/>
        <w:numPr>
          <w:ilvl w:val="0"/>
          <w:numId w:val="45"/>
        </w:numPr>
        <w:spacing w:after="0" w:line="360" w:lineRule="auto"/>
        <w:rPr>
          <w:rFonts w:asciiTheme="majorBidi" w:hAnsiTheme="majorBidi" w:cstheme="majorBidi"/>
          <w:bCs/>
        </w:rPr>
      </w:pPr>
      <w:r w:rsidRPr="00190E90">
        <w:rPr>
          <w:rFonts w:asciiTheme="majorBidi" w:hAnsiTheme="majorBidi" w:cstheme="majorBidi"/>
          <w:bCs/>
        </w:rPr>
        <w:lastRenderedPageBreak/>
        <w:t>Presentation/Brief: Key findings, infographics, updated IPTT/endline indicator table, and learning summary for dissemination.</w:t>
      </w:r>
    </w:p>
    <w:p w14:paraId="6C6FA61C"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2.8 Roles and Responsibilities</w:t>
      </w:r>
    </w:p>
    <w:p w14:paraId="12446F4B" w14:textId="77777777" w:rsidR="00613641" w:rsidRDefault="00613641" w:rsidP="00190E90">
      <w:pPr>
        <w:spacing w:after="0" w:line="360" w:lineRule="auto"/>
        <w:jc w:val="both"/>
        <w:rPr>
          <w:rFonts w:asciiTheme="majorBidi" w:hAnsiTheme="majorBidi" w:cstheme="majorBidi"/>
          <w:bCs/>
        </w:rPr>
      </w:pPr>
      <w:r w:rsidRPr="00190E90">
        <w:rPr>
          <w:rFonts w:asciiTheme="majorBidi" w:hAnsiTheme="majorBidi" w:cstheme="majorBidi"/>
          <w:bCs/>
        </w:rPr>
        <w:t>Save the Children (MEAL team) will be responsible for overall coordination and technical oversight of the endline study, including review of methodology, tools, sampling, data quality protocols, analysis outputs, and final reporting. Local Partners and the Ministry of Health (MoH) will support field coordination, community entry, access facilitation, and validation of findings. The consultant/research team will lead data collection, data cleaning, analysis, and report drafting while ensuring adherence to ethical standards, safeguarding, conflict-sensitive protocols, and agreed quality assurance measures throughout the study.</w:t>
      </w:r>
    </w:p>
    <w:p w14:paraId="46927D9B" w14:textId="77777777" w:rsidR="00E93C29" w:rsidRPr="00190E90" w:rsidRDefault="00E93C29" w:rsidP="00190E90">
      <w:pPr>
        <w:spacing w:after="0" w:line="360" w:lineRule="auto"/>
        <w:jc w:val="both"/>
        <w:rPr>
          <w:rFonts w:asciiTheme="majorBidi" w:hAnsiTheme="majorBidi" w:cstheme="majorBidi"/>
          <w:bCs/>
        </w:rPr>
      </w:pPr>
    </w:p>
    <w:p w14:paraId="0CB83A06" w14:textId="5DA3A09A" w:rsidR="00E93C29" w:rsidRDefault="00613641" w:rsidP="006C4B5D">
      <w:pPr>
        <w:spacing w:after="0" w:line="360" w:lineRule="auto"/>
        <w:rPr>
          <w:rFonts w:asciiTheme="majorBidi" w:hAnsiTheme="majorBidi" w:cstheme="majorBidi"/>
          <w:b/>
        </w:rPr>
      </w:pPr>
      <w:r w:rsidRPr="00613641">
        <w:rPr>
          <w:rFonts w:asciiTheme="majorBidi" w:hAnsiTheme="majorBidi" w:cstheme="majorBidi"/>
          <w:b/>
        </w:rPr>
        <w:t>2.9 Timeline: Indicative – 6 Weeks</w:t>
      </w:r>
    </w:p>
    <w:tbl>
      <w:tblPr>
        <w:tblStyle w:val="TableGrid5"/>
        <w:tblW w:w="0" w:type="auto"/>
        <w:jc w:val="center"/>
        <w:tblLook w:val="04A0" w:firstRow="1" w:lastRow="0" w:firstColumn="1" w:lastColumn="0" w:noHBand="0" w:noVBand="1"/>
      </w:tblPr>
      <w:tblGrid>
        <w:gridCol w:w="2280"/>
        <w:gridCol w:w="2380"/>
        <w:gridCol w:w="2322"/>
        <w:gridCol w:w="2318"/>
      </w:tblGrid>
      <w:tr w:rsidR="00E93C29" w:rsidRPr="00E93C29" w14:paraId="6E2056CB" w14:textId="77777777" w:rsidTr="006C4B5D">
        <w:trPr>
          <w:jc w:val="center"/>
        </w:trPr>
        <w:tc>
          <w:tcPr>
            <w:tcW w:w="2556" w:type="dxa"/>
            <w:tcBorders>
              <w:top w:val="single" w:sz="24" w:space="0" w:color="FF0000"/>
              <w:left w:val="single" w:sz="24" w:space="0" w:color="FF0000"/>
            </w:tcBorders>
          </w:tcPr>
          <w:p w14:paraId="7CE97919" w14:textId="77777777" w:rsidR="00E93C29" w:rsidRPr="00E93C29" w:rsidRDefault="00E93C29" w:rsidP="00E93C29">
            <w:pPr>
              <w:rPr>
                <w:rFonts w:asciiTheme="majorBidi" w:hAnsiTheme="majorBidi" w:cstheme="majorBidi"/>
              </w:rPr>
            </w:pPr>
            <w:r w:rsidRPr="00E93C29">
              <w:rPr>
                <w:rFonts w:asciiTheme="majorBidi" w:hAnsiTheme="majorBidi" w:cstheme="majorBidi"/>
                <w:b/>
              </w:rPr>
              <w:t>Phase</w:t>
            </w:r>
          </w:p>
        </w:tc>
        <w:tc>
          <w:tcPr>
            <w:tcW w:w="2556" w:type="dxa"/>
            <w:tcBorders>
              <w:top w:val="single" w:sz="24" w:space="0" w:color="FF0000"/>
            </w:tcBorders>
          </w:tcPr>
          <w:p w14:paraId="23D7B376" w14:textId="77777777" w:rsidR="00E93C29" w:rsidRPr="00E93C29" w:rsidRDefault="00E93C29" w:rsidP="00E93C29">
            <w:pPr>
              <w:rPr>
                <w:rFonts w:asciiTheme="majorBidi" w:hAnsiTheme="majorBidi" w:cstheme="majorBidi"/>
              </w:rPr>
            </w:pPr>
            <w:r w:rsidRPr="00E93C29">
              <w:rPr>
                <w:rFonts w:asciiTheme="majorBidi" w:hAnsiTheme="majorBidi" w:cstheme="majorBidi"/>
                <w:b/>
              </w:rPr>
              <w:t>Activities</w:t>
            </w:r>
          </w:p>
        </w:tc>
        <w:tc>
          <w:tcPr>
            <w:tcW w:w="2556" w:type="dxa"/>
            <w:tcBorders>
              <w:top w:val="single" w:sz="24" w:space="0" w:color="FF0000"/>
            </w:tcBorders>
          </w:tcPr>
          <w:p w14:paraId="250C879E" w14:textId="77777777" w:rsidR="00E93C29" w:rsidRPr="00E93C29" w:rsidRDefault="00E93C29" w:rsidP="00E93C29">
            <w:pPr>
              <w:rPr>
                <w:rFonts w:asciiTheme="majorBidi" w:hAnsiTheme="majorBidi" w:cstheme="majorBidi"/>
              </w:rPr>
            </w:pPr>
            <w:r w:rsidRPr="00E93C29">
              <w:rPr>
                <w:rFonts w:asciiTheme="majorBidi" w:hAnsiTheme="majorBidi" w:cstheme="majorBidi"/>
                <w:b/>
              </w:rPr>
              <w:t>Duration</w:t>
            </w:r>
          </w:p>
        </w:tc>
        <w:tc>
          <w:tcPr>
            <w:tcW w:w="2556" w:type="dxa"/>
            <w:tcBorders>
              <w:top w:val="single" w:sz="24" w:space="0" w:color="FF0000"/>
              <w:right w:val="single" w:sz="24" w:space="0" w:color="FF0000"/>
            </w:tcBorders>
          </w:tcPr>
          <w:p w14:paraId="6CBB7264" w14:textId="77777777" w:rsidR="00E93C29" w:rsidRPr="00E93C29" w:rsidRDefault="00E93C29" w:rsidP="00E93C29">
            <w:pPr>
              <w:rPr>
                <w:rFonts w:asciiTheme="majorBidi" w:hAnsiTheme="majorBidi" w:cstheme="majorBidi"/>
              </w:rPr>
            </w:pPr>
            <w:r w:rsidRPr="00E93C29">
              <w:rPr>
                <w:rFonts w:asciiTheme="majorBidi" w:hAnsiTheme="majorBidi" w:cstheme="majorBidi"/>
                <w:b/>
              </w:rPr>
              <w:t>Payment</w:t>
            </w:r>
          </w:p>
        </w:tc>
      </w:tr>
      <w:tr w:rsidR="00E93C29" w:rsidRPr="00E93C29" w14:paraId="7B210620" w14:textId="77777777" w:rsidTr="006C4B5D">
        <w:trPr>
          <w:jc w:val="center"/>
        </w:trPr>
        <w:tc>
          <w:tcPr>
            <w:tcW w:w="2556" w:type="dxa"/>
            <w:tcBorders>
              <w:left w:val="single" w:sz="24" w:space="0" w:color="FF0000"/>
            </w:tcBorders>
          </w:tcPr>
          <w:p w14:paraId="69AE9C4F" w14:textId="77777777" w:rsidR="00E93C29" w:rsidRPr="00E93C29" w:rsidRDefault="00E93C29" w:rsidP="00E93C29">
            <w:pPr>
              <w:rPr>
                <w:rFonts w:asciiTheme="majorBidi" w:hAnsiTheme="majorBidi" w:cstheme="majorBidi"/>
              </w:rPr>
            </w:pPr>
            <w:r w:rsidRPr="00E93C29">
              <w:rPr>
                <w:rFonts w:asciiTheme="majorBidi" w:hAnsiTheme="majorBidi" w:cstheme="majorBidi"/>
              </w:rPr>
              <w:t>Week 1</w:t>
            </w:r>
          </w:p>
        </w:tc>
        <w:tc>
          <w:tcPr>
            <w:tcW w:w="2556" w:type="dxa"/>
          </w:tcPr>
          <w:p w14:paraId="6AAF788F" w14:textId="77777777" w:rsidR="00E93C29" w:rsidRPr="00E93C29" w:rsidRDefault="00E93C29" w:rsidP="00E93C29">
            <w:pPr>
              <w:rPr>
                <w:rFonts w:asciiTheme="majorBidi" w:hAnsiTheme="majorBidi" w:cstheme="majorBidi"/>
              </w:rPr>
            </w:pPr>
            <w:r w:rsidRPr="00E93C29">
              <w:rPr>
                <w:rFonts w:asciiTheme="majorBidi" w:hAnsiTheme="majorBidi" w:cstheme="majorBidi"/>
              </w:rPr>
              <w:t>Inception, document review, tool adaptation, work plan, ethical approvals and pilot</w:t>
            </w:r>
          </w:p>
        </w:tc>
        <w:tc>
          <w:tcPr>
            <w:tcW w:w="2556" w:type="dxa"/>
          </w:tcPr>
          <w:p w14:paraId="68B0FB6F" w14:textId="77777777" w:rsidR="00E93C29" w:rsidRPr="00E93C29" w:rsidRDefault="00E93C29" w:rsidP="00E93C29">
            <w:pPr>
              <w:rPr>
                <w:rFonts w:asciiTheme="majorBidi" w:hAnsiTheme="majorBidi" w:cstheme="majorBidi"/>
              </w:rPr>
            </w:pPr>
            <w:r w:rsidRPr="00E93C29">
              <w:rPr>
                <w:rFonts w:asciiTheme="majorBidi" w:hAnsiTheme="majorBidi" w:cstheme="majorBidi"/>
              </w:rPr>
              <w:t>1 week</w:t>
            </w:r>
          </w:p>
        </w:tc>
        <w:tc>
          <w:tcPr>
            <w:tcW w:w="2556" w:type="dxa"/>
            <w:tcBorders>
              <w:right w:val="single" w:sz="24" w:space="0" w:color="FF0000"/>
            </w:tcBorders>
          </w:tcPr>
          <w:p w14:paraId="68AACA55" w14:textId="68E4D5E5" w:rsidR="00E93C29" w:rsidRPr="00E93C29" w:rsidRDefault="00E93C29" w:rsidP="00E93C29">
            <w:pPr>
              <w:rPr>
                <w:rFonts w:asciiTheme="majorBidi" w:hAnsiTheme="majorBidi" w:cstheme="majorBidi"/>
              </w:rPr>
            </w:pPr>
            <w:r w:rsidRPr="00E93C29">
              <w:rPr>
                <w:rFonts w:asciiTheme="majorBidi" w:hAnsiTheme="majorBidi" w:cstheme="majorBidi"/>
              </w:rPr>
              <w:t>3</w:t>
            </w:r>
            <w:r w:rsidR="00B438DB">
              <w:rPr>
                <w:rFonts w:asciiTheme="majorBidi" w:hAnsiTheme="majorBidi" w:cstheme="majorBidi"/>
              </w:rPr>
              <w:t>0</w:t>
            </w:r>
            <w:r w:rsidRPr="00E93C29">
              <w:rPr>
                <w:rFonts w:asciiTheme="majorBidi" w:hAnsiTheme="majorBidi" w:cstheme="majorBidi"/>
              </w:rPr>
              <w:t>%</w:t>
            </w:r>
          </w:p>
        </w:tc>
      </w:tr>
      <w:tr w:rsidR="00E93C29" w:rsidRPr="00E93C29" w14:paraId="79666FE0" w14:textId="77777777" w:rsidTr="006C4B5D">
        <w:trPr>
          <w:jc w:val="center"/>
        </w:trPr>
        <w:tc>
          <w:tcPr>
            <w:tcW w:w="2556" w:type="dxa"/>
            <w:tcBorders>
              <w:left w:val="single" w:sz="24" w:space="0" w:color="FF0000"/>
            </w:tcBorders>
          </w:tcPr>
          <w:p w14:paraId="3CF5055E" w14:textId="77777777" w:rsidR="00E93C29" w:rsidRPr="00E93C29" w:rsidRDefault="00E93C29" w:rsidP="00E93C29">
            <w:pPr>
              <w:rPr>
                <w:rFonts w:asciiTheme="majorBidi" w:hAnsiTheme="majorBidi" w:cstheme="majorBidi"/>
              </w:rPr>
            </w:pPr>
            <w:r w:rsidRPr="00E93C29">
              <w:rPr>
                <w:rFonts w:asciiTheme="majorBidi" w:hAnsiTheme="majorBidi" w:cstheme="majorBidi"/>
              </w:rPr>
              <w:t>Weeks 2–3</w:t>
            </w:r>
          </w:p>
        </w:tc>
        <w:tc>
          <w:tcPr>
            <w:tcW w:w="2556" w:type="dxa"/>
          </w:tcPr>
          <w:p w14:paraId="1EDBB7D9" w14:textId="77777777" w:rsidR="00E93C29" w:rsidRPr="00E93C29" w:rsidRDefault="00E93C29" w:rsidP="00E93C29">
            <w:pPr>
              <w:rPr>
                <w:rFonts w:asciiTheme="majorBidi" w:hAnsiTheme="majorBidi" w:cstheme="majorBidi"/>
              </w:rPr>
            </w:pPr>
            <w:r w:rsidRPr="00E93C29">
              <w:rPr>
                <w:rFonts w:asciiTheme="majorBidi" w:hAnsiTheme="majorBidi" w:cstheme="majorBidi"/>
              </w:rPr>
              <w:t>Field data collection: household survey, facility assessment, records review and qualitative inquiry</w:t>
            </w:r>
          </w:p>
        </w:tc>
        <w:tc>
          <w:tcPr>
            <w:tcW w:w="2556" w:type="dxa"/>
          </w:tcPr>
          <w:p w14:paraId="6E28CB5B" w14:textId="77777777" w:rsidR="00E93C29" w:rsidRPr="00E93C29" w:rsidRDefault="00E93C29" w:rsidP="00E93C29">
            <w:pPr>
              <w:rPr>
                <w:rFonts w:asciiTheme="majorBidi" w:hAnsiTheme="majorBidi" w:cstheme="majorBidi"/>
              </w:rPr>
            </w:pPr>
            <w:r w:rsidRPr="00E93C29">
              <w:rPr>
                <w:rFonts w:asciiTheme="majorBidi" w:hAnsiTheme="majorBidi" w:cstheme="majorBidi"/>
              </w:rPr>
              <w:t>2 weeks</w:t>
            </w:r>
          </w:p>
        </w:tc>
        <w:tc>
          <w:tcPr>
            <w:tcW w:w="2556" w:type="dxa"/>
            <w:tcBorders>
              <w:right w:val="single" w:sz="24" w:space="0" w:color="FF0000"/>
            </w:tcBorders>
          </w:tcPr>
          <w:p w14:paraId="2E0E65DC" w14:textId="77777777" w:rsidR="00E93C29" w:rsidRPr="00E93C29" w:rsidRDefault="00E93C29" w:rsidP="00E93C29">
            <w:pPr>
              <w:rPr>
                <w:rFonts w:asciiTheme="majorBidi" w:hAnsiTheme="majorBidi" w:cstheme="majorBidi"/>
              </w:rPr>
            </w:pPr>
          </w:p>
        </w:tc>
      </w:tr>
      <w:tr w:rsidR="00E93C29" w:rsidRPr="00E93C29" w14:paraId="2EC2FB97" w14:textId="77777777" w:rsidTr="006C4B5D">
        <w:trPr>
          <w:jc w:val="center"/>
        </w:trPr>
        <w:tc>
          <w:tcPr>
            <w:tcW w:w="2556" w:type="dxa"/>
            <w:tcBorders>
              <w:left w:val="single" w:sz="24" w:space="0" w:color="FF0000"/>
            </w:tcBorders>
          </w:tcPr>
          <w:p w14:paraId="69DEE519" w14:textId="77777777" w:rsidR="00E93C29" w:rsidRPr="00E93C29" w:rsidRDefault="00E93C29" w:rsidP="00E93C29">
            <w:pPr>
              <w:rPr>
                <w:rFonts w:asciiTheme="majorBidi" w:hAnsiTheme="majorBidi" w:cstheme="majorBidi"/>
              </w:rPr>
            </w:pPr>
            <w:r w:rsidRPr="00E93C29">
              <w:rPr>
                <w:rFonts w:asciiTheme="majorBidi" w:hAnsiTheme="majorBidi" w:cstheme="majorBidi"/>
              </w:rPr>
              <w:t>Week 4</w:t>
            </w:r>
          </w:p>
        </w:tc>
        <w:tc>
          <w:tcPr>
            <w:tcW w:w="2556" w:type="dxa"/>
          </w:tcPr>
          <w:p w14:paraId="2707F2AF" w14:textId="77777777" w:rsidR="00E93C29" w:rsidRPr="00E93C29" w:rsidRDefault="00E93C29" w:rsidP="00E93C29">
            <w:pPr>
              <w:rPr>
                <w:rFonts w:asciiTheme="majorBidi" w:hAnsiTheme="majorBidi" w:cstheme="majorBidi"/>
              </w:rPr>
            </w:pPr>
            <w:r w:rsidRPr="00E93C29">
              <w:rPr>
                <w:rFonts w:asciiTheme="majorBidi" w:hAnsiTheme="majorBidi" w:cstheme="majorBidi"/>
              </w:rPr>
              <w:t>Data cleaning, validation, preliminary analysis and baseline-endline comparison</w:t>
            </w:r>
          </w:p>
        </w:tc>
        <w:tc>
          <w:tcPr>
            <w:tcW w:w="2556" w:type="dxa"/>
          </w:tcPr>
          <w:p w14:paraId="76F5EE0D" w14:textId="77777777" w:rsidR="00E93C29" w:rsidRPr="00E93C29" w:rsidRDefault="00E93C29" w:rsidP="00E93C29">
            <w:pPr>
              <w:rPr>
                <w:rFonts w:asciiTheme="majorBidi" w:hAnsiTheme="majorBidi" w:cstheme="majorBidi"/>
              </w:rPr>
            </w:pPr>
            <w:r w:rsidRPr="00E93C29">
              <w:rPr>
                <w:rFonts w:asciiTheme="majorBidi" w:hAnsiTheme="majorBidi" w:cstheme="majorBidi"/>
              </w:rPr>
              <w:t>1 week</w:t>
            </w:r>
          </w:p>
        </w:tc>
        <w:tc>
          <w:tcPr>
            <w:tcW w:w="2556" w:type="dxa"/>
            <w:tcBorders>
              <w:right w:val="single" w:sz="24" w:space="0" w:color="FF0000"/>
            </w:tcBorders>
          </w:tcPr>
          <w:p w14:paraId="53BA57B1" w14:textId="77777777" w:rsidR="00E93C29" w:rsidRPr="00E93C29" w:rsidRDefault="00E93C29" w:rsidP="00E93C29">
            <w:pPr>
              <w:rPr>
                <w:rFonts w:asciiTheme="majorBidi" w:hAnsiTheme="majorBidi" w:cstheme="majorBidi"/>
              </w:rPr>
            </w:pPr>
          </w:p>
        </w:tc>
      </w:tr>
      <w:tr w:rsidR="00E93C29" w:rsidRPr="00E93C29" w14:paraId="612A76C5" w14:textId="77777777" w:rsidTr="006C4B5D">
        <w:trPr>
          <w:jc w:val="center"/>
        </w:trPr>
        <w:tc>
          <w:tcPr>
            <w:tcW w:w="2556" w:type="dxa"/>
            <w:tcBorders>
              <w:left w:val="single" w:sz="24" w:space="0" w:color="FF0000"/>
            </w:tcBorders>
          </w:tcPr>
          <w:p w14:paraId="093AA4FA" w14:textId="77777777" w:rsidR="00E93C29" w:rsidRPr="00E93C29" w:rsidRDefault="00E93C29" w:rsidP="00E93C29">
            <w:pPr>
              <w:rPr>
                <w:rFonts w:asciiTheme="majorBidi" w:hAnsiTheme="majorBidi" w:cstheme="majorBidi"/>
              </w:rPr>
            </w:pPr>
            <w:r w:rsidRPr="00E93C29">
              <w:rPr>
                <w:rFonts w:asciiTheme="majorBidi" w:hAnsiTheme="majorBidi" w:cstheme="majorBidi"/>
              </w:rPr>
              <w:t>Week 5</w:t>
            </w:r>
          </w:p>
        </w:tc>
        <w:tc>
          <w:tcPr>
            <w:tcW w:w="2556" w:type="dxa"/>
          </w:tcPr>
          <w:p w14:paraId="29D7CB7C" w14:textId="77777777" w:rsidR="00E93C29" w:rsidRPr="00E93C29" w:rsidRDefault="00E93C29" w:rsidP="00E93C29">
            <w:pPr>
              <w:rPr>
                <w:rFonts w:asciiTheme="majorBidi" w:hAnsiTheme="majorBidi" w:cstheme="majorBidi"/>
              </w:rPr>
            </w:pPr>
            <w:r w:rsidRPr="00E93C29">
              <w:rPr>
                <w:rFonts w:asciiTheme="majorBidi" w:hAnsiTheme="majorBidi" w:cstheme="majorBidi"/>
              </w:rPr>
              <w:t>Draft report, validation workshop and incorporation of feedback</w:t>
            </w:r>
          </w:p>
        </w:tc>
        <w:tc>
          <w:tcPr>
            <w:tcW w:w="2556" w:type="dxa"/>
          </w:tcPr>
          <w:p w14:paraId="56A62485" w14:textId="77777777" w:rsidR="00E93C29" w:rsidRPr="00E93C29" w:rsidRDefault="00E93C29" w:rsidP="00E93C29">
            <w:pPr>
              <w:rPr>
                <w:rFonts w:asciiTheme="majorBidi" w:hAnsiTheme="majorBidi" w:cstheme="majorBidi"/>
              </w:rPr>
            </w:pPr>
            <w:r w:rsidRPr="00E93C29">
              <w:rPr>
                <w:rFonts w:asciiTheme="majorBidi" w:hAnsiTheme="majorBidi" w:cstheme="majorBidi"/>
              </w:rPr>
              <w:t>1 week</w:t>
            </w:r>
          </w:p>
        </w:tc>
        <w:tc>
          <w:tcPr>
            <w:tcW w:w="2556" w:type="dxa"/>
            <w:tcBorders>
              <w:right w:val="single" w:sz="24" w:space="0" w:color="FF0000"/>
            </w:tcBorders>
          </w:tcPr>
          <w:p w14:paraId="3ED3DF4E" w14:textId="3910A06F" w:rsidR="00E93C29" w:rsidRPr="00E93C29" w:rsidRDefault="00E93C29" w:rsidP="00E93C29">
            <w:pPr>
              <w:rPr>
                <w:rFonts w:asciiTheme="majorBidi" w:hAnsiTheme="majorBidi" w:cstheme="majorBidi"/>
              </w:rPr>
            </w:pPr>
            <w:r w:rsidRPr="00E93C29">
              <w:rPr>
                <w:rFonts w:asciiTheme="majorBidi" w:hAnsiTheme="majorBidi" w:cstheme="majorBidi"/>
              </w:rPr>
              <w:t>3</w:t>
            </w:r>
            <w:r w:rsidR="00B438DB">
              <w:rPr>
                <w:rFonts w:asciiTheme="majorBidi" w:hAnsiTheme="majorBidi" w:cstheme="majorBidi"/>
              </w:rPr>
              <w:t>0</w:t>
            </w:r>
            <w:r w:rsidRPr="00E93C29">
              <w:rPr>
                <w:rFonts w:asciiTheme="majorBidi" w:hAnsiTheme="majorBidi" w:cstheme="majorBidi"/>
              </w:rPr>
              <w:t>%</w:t>
            </w:r>
          </w:p>
        </w:tc>
      </w:tr>
      <w:tr w:rsidR="00E93C29" w:rsidRPr="00E93C29" w14:paraId="63966E82" w14:textId="77777777" w:rsidTr="006C4B5D">
        <w:trPr>
          <w:jc w:val="center"/>
        </w:trPr>
        <w:tc>
          <w:tcPr>
            <w:tcW w:w="2556" w:type="dxa"/>
            <w:tcBorders>
              <w:left w:val="single" w:sz="24" w:space="0" w:color="FF0000"/>
              <w:bottom w:val="single" w:sz="24" w:space="0" w:color="FF0000"/>
            </w:tcBorders>
          </w:tcPr>
          <w:p w14:paraId="351B4FB0" w14:textId="77777777" w:rsidR="00E93C29" w:rsidRPr="00E93C29" w:rsidRDefault="00E93C29" w:rsidP="00E93C29">
            <w:pPr>
              <w:rPr>
                <w:rFonts w:asciiTheme="majorBidi" w:hAnsiTheme="majorBidi" w:cstheme="majorBidi"/>
              </w:rPr>
            </w:pPr>
            <w:r w:rsidRPr="00E93C29">
              <w:rPr>
                <w:rFonts w:asciiTheme="majorBidi" w:hAnsiTheme="majorBidi" w:cstheme="majorBidi"/>
              </w:rPr>
              <w:t>Week 6</w:t>
            </w:r>
          </w:p>
        </w:tc>
        <w:tc>
          <w:tcPr>
            <w:tcW w:w="2556" w:type="dxa"/>
            <w:tcBorders>
              <w:bottom w:val="single" w:sz="24" w:space="0" w:color="FF0000"/>
            </w:tcBorders>
          </w:tcPr>
          <w:p w14:paraId="73CCF0E5" w14:textId="77777777" w:rsidR="00E93C29" w:rsidRPr="00E93C29" w:rsidRDefault="00E93C29" w:rsidP="00E93C29">
            <w:pPr>
              <w:rPr>
                <w:rFonts w:asciiTheme="majorBidi" w:hAnsiTheme="majorBidi" w:cstheme="majorBidi"/>
              </w:rPr>
            </w:pPr>
            <w:r w:rsidRPr="00E93C29">
              <w:rPr>
                <w:rFonts w:asciiTheme="majorBidi" w:hAnsiTheme="majorBidi" w:cstheme="majorBidi"/>
              </w:rPr>
              <w:t>Final report, presentation, dissemination and learning session</w:t>
            </w:r>
          </w:p>
        </w:tc>
        <w:tc>
          <w:tcPr>
            <w:tcW w:w="2556" w:type="dxa"/>
            <w:tcBorders>
              <w:bottom w:val="single" w:sz="24" w:space="0" w:color="FF0000"/>
            </w:tcBorders>
          </w:tcPr>
          <w:p w14:paraId="184278DB" w14:textId="77777777" w:rsidR="00E93C29" w:rsidRPr="00E93C29" w:rsidRDefault="00E93C29" w:rsidP="00E93C29">
            <w:pPr>
              <w:rPr>
                <w:rFonts w:asciiTheme="majorBidi" w:hAnsiTheme="majorBidi" w:cstheme="majorBidi"/>
              </w:rPr>
            </w:pPr>
            <w:r w:rsidRPr="00E93C29">
              <w:rPr>
                <w:rFonts w:asciiTheme="majorBidi" w:hAnsiTheme="majorBidi" w:cstheme="majorBidi"/>
              </w:rPr>
              <w:t>1 week</w:t>
            </w:r>
          </w:p>
        </w:tc>
        <w:tc>
          <w:tcPr>
            <w:tcW w:w="2556" w:type="dxa"/>
            <w:tcBorders>
              <w:bottom w:val="single" w:sz="24" w:space="0" w:color="FF0000"/>
              <w:right w:val="single" w:sz="24" w:space="0" w:color="FF0000"/>
            </w:tcBorders>
          </w:tcPr>
          <w:p w14:paraId="4923202E" w14:textId="0D9B1A02" w:rsidR="00E93C29" w:rsidRPr="00E93C29" w:rsidRDefault="00B438DB" w:rsidP="00E93C29">
            <w:pPr>
              <w:rPr>
                <w:rFonts w:asciiTheme="majorBidi" w:hAnsiTheme="majorBidi" w:cstheme="majorBidi"/>
              </w:rPr>
            </w:pPr>
            <w:r>
              <w:rPr>
                <w:rFonts w:asciiTheme="majorBidi" w:hAnsiTheme="majorBidi" w:cstheme="majorBidi"/>
              </w:rPr>
              <w:t>40</w:t>
            </w:r>
            <w:r w:rsidR="00E93C29" w:rsidRPr="00E93C29">
              <w:rPr>
                <w:rFonts w:asciiTheme="majorBidi" w:hAnsiTheme="majorBidi" w:cstheme="majorBidi"/>
              </w:rPr>
              <w:t>%</w:t>
            </w:r>
          </w:p>
        </w:tc>
      </w:tr>
    </w:tbl>
    <w:p w14:paraId="3A946E93" w14:textId="77777777" w:rsidR="00E93C29" w:rsidRPr="00613641" w:rsidRDefault="00E93C29" w:rsidP="00613641">
      <w:pPr>
        <w:spacing w:after="0" w:line="360" w:lineRule="auto"/>
        <w:rPr>
          <w:rFonts w:asciiTheme="majorBidi" w:hAnsiTheme="majorBidi" w:cstheme="majorBidi"/>
          <w:b/>
        </w:rPr>
      </w:pPr>
    </w:p>
    <w:p w14:paraId="4F948040"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2.10 Code of Conduct</w:t>
      </w:r>
    </w:p>
    <w:p w14:paraId="0F08FB35" w14:textId="77777777" w:rsidR="00613641" w:rsidRPr="00C92AC8" w:rsidRDefault="00613641" w:rsidP="00C92AC8">
      <w:pPr>
        <w:spacing w:after="0" w:line="360" w:lineRule="auto"/>
        <w:jc w:val="both"/>
        <w:rPr>
          <w:rFonts w:asciiTheme="majorBidi" w:hAnsiTheme="majorBidi" w:cstheme="majorBidi"/>
          <w:bCs/>
        </w:rPr>
      </w:pPr>
      <w:r w:rsidRPr="00C92AC8">
        <w:rPr>
          <w:rFonts w:asciiTheme="majorBidi" w:hAnsiTheme="majorBidi" w:cstheme="majorBidi"/>
          <w:bCs/>
        </w:rPr>
        <w:t xml:space="preserve">Save the Children’s work is based on deeply held values and principles of child safeguarding, and it is essential that all people working for and with Save the Children demonstrate commitment to </w:t>
      </w:r>
      <w:r w:rsidRPr="00C92AC8">
        <w:rPr>
          <w:rFonts w:asciiTheme="majorBidi" w:hAnsiTheme="majorBidi" w:cstheme="majorBidi"/>
          <w:bCs/>
        </w:rPr>
        <w:lastRenderedPageBreak/>
        <w:t>children’s rights and humanitarian principles. The consultant will be required to sign and abide by Save the Children’s Code of Conduct and safeguarding policies.</w:t>
      </w:r>
    </w:p>
    <w:p w14:paraId="6699DF91" w14:textId="77777777" w:rsidR="00613641" w:rsidRDefault="00613641" w:rsidP="00C92AC8">
      <w:pPr>
        <w:spacing w:after="0" w:line="360" w:lineRule="auto"/>
        <w:jc w:val="both"/>
        <w:rPr>
          <w:rFonts w:asciiTheme="majorBidi" w:hAnsiTheme="majorBidi" w:cstheme="majorBidi"/>
          <w:bCs/>
        </w:rPr>
      </w:pPr>
      <w:r w:rsidRPr="00C92AC8">
        <w:rPr>
          <w:rFonts w:asciiTheme="majorBidi" w:hAnsiTheme="majorBidi" w:cstheme="majorBidi"/>
          <w:bCs/>
        </w:rPr>
        <w:t>A contract will be signed by the consultant before commencement of the assignment. The contract will detail the terms and conditions of service, inputs, deliverables, timeline, and payment schedule. The consultant will treat all information disclosed during the assignment as private and confidential and will not disclose or publish any information without prior written consent from Save the Children. Sensitive information, particularly concerning individual children, survivors, or vulnerable participants, must be treated as strictly confidential. Any corrupt, unethical, or safeguarding-related violation may render the consultancy agreement void.</w:t>
      </w:r>
    </w:p>
    <w:p w14:paraId="0093F776" w14:textId="77777777" w:rsidR="006C4B5D" w:rsidRDefault="006C4B5D" w:rsidP="00C92AC8">
      <w:pPr>
        <w:spacing w:after="0" w:line="360" w:lineRule="auto"/>
        <w:jc w:val="both"/>
        <w:rPr>
          <w:rFonts w:asciiTheme="majorBidi" w:hAnsiTheme="majorBidi" w:cstheme="majorBidi"/>
          <w:bCs/>
        </w:rPr>
      </w:pPr>
    </w:p>
    <w:p w14:paraId="571A758A" w14:textId="6A840442" w:rsidR="00141EB9" w:rsidRPr="00141EB9" w:rsidRDefault="00141EB9" w:rsidP="00141EB9">
      <w:pPr>
        <w:spacing w:after="0" w:line="360" w:lineRule="auto"/>
        <w:rPr>
          <w:rFonts w:asciiTheme="majorBidi" w:hAnsiTheme="majorBidi" w:cstheme="majorBidi"/>
          <w:b/>
        </w:rPr>
      </w:pPr>
      <w:r w:rsidRPr="00141EB9">
        <w:rPr>
          <w:rFonts w:asciiTheme="majorBidi" w:hAnsiTheme="majorBidi" w:cstheme="majorBidi"/>
          <w:b/>
        </w:rPr>
        <w:t>2.11. Study Kick-off and Field Coordination</w:t>
      </w:r>
    </w:p>
    <w:p w14:paraId="2A5717D3" w14:textId="77777777" w:rsidR="00141EB9" w:rsidRPr="00141EB9" w:rsidRDefault="00141EB9" w:rsidP="00141EB9">
      <w:pPr>
        <w:spacing w:after="0" w:line="360" w:lineRule="auto"/>
        <w:jc w:val="both"/>
        <w:rPr>
          <w:rFonts w:asciiTheme="majorBidi" w:hAnsiTheme="majorBidi" w:cstheme="majorBidi"/>
          <w:bCs/>
        </w:rPr>
      </w:pPr>
      <w:r w:rsidRPr="00141EB9">
        <w:rPr>
          <w:rFonts w:asciiTheme="majorBidi" w:hAnsiTheme="majorBidi" w:cstheme="majorBidi"/>
          <w:bCs/>
        </w:rPr>
        <w:t>SCI/MEAL team will organize the study kick-off meeting before the start of data collection to agree on the study timeline, methodology, roles, communication channels, and field coordination arrangements.</w:t>
      </w:r>
    </w:p>
    <w:p w14:paraId="6A39C0D5" w14:textId="77777777" w:rsidR="00141EB9" w:rsidRPr="00141EB9" w:rsidRDefault="00141EB9" w:rsidP="00141EB9">
      <w:pPr>
        <w:spacing w:after="0" w:line="360" w:lineRule="auto"/>
        <w:jc w:val="both"/>
        <w:rPr>
          <w:rFonts w:asciiTheme="majorBidi" w:hAnsiTheme="majorBidi" w:cstheme="majorBidi"/>
          <w:bCs/>
        </w:rPr>
      </w:pPr>
      <w:r w:rsidRPr="00141EB9">
        <w:rPr>
          <w:rFonts w:asciiTheme="majorBidi" w:hAnsiTheme="majorBidi" w:cstheme="majorBidi"/>
          <w:bCs/>
        </w:rPr>
        <w:t>The consultant is expected to closely coordinate with the MEAL teams in the four states where data will be collected. The consultant should also share an online data collection tracker and keep it regularly updated and accessible to the MEAL team.</w:t>
      </w:r>
    </w:p>
    <w:p w14:paraId="714EB51D" w14:textId="44A79AA6" w:rsidR="006C4B5D" w:rsidRDefault="00141EB9" w:rsidP="00141EB9">
      <w:pPr>
        <w:spacing w:after="0" w:line="360" w:lineRule="auto"/>
        <w:jc w:val="both"/>
        <w:rPr>
          <w:rFonts w:asciiTheme="majorBidi" w:hAnsiTheme="majorBidi" w:cstheme="majorBidi"/>
          <w:bCs/>
        </w:rPr>
      </w:pPr>
      <w:r w:rsidRPr="00141EB9">
        <w:rPr>
          <w:rFonts w:asciiTheme="majorBidi" w:hAnsiTheme="majorBidi" w:cstheme="majorBidi"/>
          <w:bCs/>
        </w:rPr>
        <w:t>Given the conflict-sensitive context, the consultant must remain in close follow-up with the MEAL team throughout the fieldwork. Any local authority requirements, including permits or approvals, should be reviewed and cleared by the MEAL Manager in each state before proceeding</w:t>
      </w:r>
    </w:p>
    <w:p w14:paraId="1132CCD7" w14:textId="77777777" w:rsidR="006C4B5D" w:rsidRPr="00C92AC8" w:rsidRDefault="006C4B5D" w:rsidP="00C92AC8">
      <w:pPr>
        <w:spacing w:after="0" w:line="360" w:lineRule="auto"/>
        <w:jc w:val="both"/>
        <w:rPr>
          <w:rFonts w:asciiTheme="majorBidi" w:hAnsiTheme="majorBidi" w:cstheme="majorBidi"/>
          <w:bCs/>
        </w:rPr>
      </w:pPr>
    </w:p>
    <w:p w14:paraId="3822AA2C"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3. Consultant Profile</w:t>
      </w:r>
    </w:p>
    <w:p w14:paraId="24E7346D" w14:textId="29F21C8B" w:rsidR="00613641" w:rsidRPr="0019678F" w:rsidRDefault="00613641" w:rsidP="0019678F">
      <w:pPr>
        <w:pStyle w:val="ListParagraph"/>
        <w:numPr>
          <w:ilvl w:val="0"/>
          <w:numId w:val="47"/>
        </w:numPr>
        <w:spacing w:after="0" w:line="360" w:lineRule="auto"/>
        <w:rPr>
          <w:rFonts w:asciiTheme="majorBidi" w:hAnsiTheme="majorBidi" w:cstheme="majorBidi"/>
          <w:bCs/>
        </w:rPr>
      </w:pPr>
      <w:r w:rsidRPr="0019678F">
        <w:rPr>
          <w:rFonts w:asciiTheme="majorBidi" w:hAnsiTheme="majorBidi" w:cstheme="majorBidi"/>
          <w:bCs/>
        </w:rPr>
        <w:t>Proven experience in quantitative and qualitative endline evaluations or outcome assessments, preferably in health, nutrition, child protection, GBV, or humanitarian programming; applicants should submit two relevant reports as evidence.</w:t>
      </w:r>
    </w:p>
    <w:p w14:paraId="54D2F64A" w14:textId="05644425" w:rsidR="00613641" w:rsidRPr="0019678F" w:rsidRDefault="00613641" w:rsidP="0019678F">
      <w:pPr>
        <w:pStyle w:val="ListParagraph"/>
        <w:numPr>
          <w:ilvl w:val="0"/>
          <w:numId w:val="47"/>
        </w:numPr>
        <w:spacing w:after="0" w:line="360" w:lineRule="auto"/>
        <w:rPr>
          <w:rFonts w:asciiTheme="majorBidi" w:hAnsiTheme="majorBidi" w:cstheme="majorBidi"/>
          <w:bCs/>
        </w:rPr>
      </w:pPr>
      <w:r w:rsidRPr="0019678F">
        <w:rPr>
          <w:rFonts w:asciiTheme="majorBidi" w:hAnsiTheme="majorBidi" w:cstheme="majorBidi"/>
          <w:bCs/>
        </w:rPr>
        <w:t>Broad knowledge of humanitarian and development issues, specifically health, nutrition, gender, livelihoods, child protection, and accountability in fragile contexts.</w:t>
      </w:r>
    </w:p>
    <w:p w14:paraId="3C3F53AB" w14:textId="2578E175" w:rsidR="00613641" w:rsidRPr="0019678F" w:rsidRDefault="00613641" w:rsidP="0019678F">
      <w:pPr>
        <w:pStyle w:val="ListParagraph"/>
        <w:numPr>
          <w:ilvl w:val="0"/>
          <w:numId w:val="47"/>
        </w:numPr>
        <w:spacing w:after="0" w:line="360" w:lineRule="auto"/>
        <w:rPr>
          <w:rFonts w:asciiTheme="majorBidi" w:hAnsiTheme="majorBidi" w:cstheme="majorBidi"/>
          <w:bCs/>
        </w:rPr>
      </w:pPr>
      <w:r w:rsidRPr="0019678F">
        <w:rPr>
          <w:rFonts w:asciiTheme="majorBidi" w:hAnsiTheme="majorBidi" w:cstheme="majorBidi"/>
          <w:bCs/>
        </w:rPr>
        <w:t>Demonstrated experience in KAP studies, mixed-methods evaluation, facility assessments, routine records review, and baseline-to-endline comparison.</w:t>
      </w:r>
    </w:p>
    <w:p w14:paraId="64799857" w14:textId="7D28ED81" w:rsidR="00613641" w:rsidRPr="0019678F" w:rsidRDefault="00613641" w:rsidP="0019678F">
      <w:pPr>
        <w:pStyle w:val="ListParagraph"/>
        <w:numPr>
          <w:ilvl w:val="0"/>
          <w:numId w:val="47"/>
        </w:numPr>
        <w:spacing w:after="0" w:line="360" w:lineRule="auto"/>
        <w:rPr>
          <w:rFonts w:asciiTheme="majorBidi" w:hAnsiTheme="majorBidi" w:cstheme="majorBidi"/>
          <w:bCs/>
        </w:rPr>
      </w:pPr>
      <w:r w:rsidRPr="0019678F">
        <w:rPr>
          <w:rFonts w:asciiTheme="majorBidi" w:hAnsiTheme="majorBidi" w:cstheme="majorBidi"/>
          <w:bCs/>
        </w:rPr>
        <w:t>Fluency in Arabic and English; excellent verbal and written communication skills and strong report writing capacity.</w:t>
      </w:r>
    </w:p>
    <w:p w14:paraId="27D63DEA" w14:textId="11259853" w:rsidR="00613641" w:rsidRPr="0019678F" w:rsidRDefault="00613641" w:rsidP="0019678F">
      <w:pPr>
        <w:pStyle w:val="ListParagraph"/>
        <w:numPr>
          <w:ilvl w:val="0"/>
          <w:numId w:val="47"/>
        </w:numPr>
        <w:spacing w:after="0" w:line="360" w:lineRule="auto"/>
        <w:rPr>
          <w:rFonts w:asciiTheme="majorBidi" w:hAnsiTheme="majorBidi" w:cstheme="majorBidi"/>
          <w:bCs/>
        </w:rPr>
      </w:pPr>
      <w:r w:rsidRPr="0019678F">
        <w:rPr>
          <w:rFonts w:asciiTheme="majorBidi" w:hAnsiTheme="majorBidi" w:cstheme="majorBidi"/>
          <w:bCs/>
        </w:rPr>
        <w:lastRenderedPageBreak/>
        <w:t>Awareness of cultural sensitivities and local context, preferably with working experience in Sudan and conflict-affected settings.</w:t>
      </w:r>
    </w:p>
    <w:p w14:paraId="6111FA98" w14:textId="4D2F6CEE" w:rsidR="00613641" w:rsidRPr="0019678F" w:rsidRDefault="00613641" w:rsidP="0019678F">
      <w:pPr>
        <w:pStyle w:val="ListParagraph"/>
        <w:numPr>
          <w:ilvl w:val="0"/>
          <w:numId w:val="47"/>
        </w:numPr>
        <w:spacing w:after="0" w:line="360" w:lineRule="auto"/>
        <w:rPr>
          <w:rFonts w:asciiTheme="majorBidi" w:hAnsiTheme="majorBidi" w:cstheme="majorBidi"/>
          <w:bCs/>
        </w:rPr>
      </w:pPr>
      <w:r w:rsidRPr="0019678F">
        <w:rPr>
          <w:rFonts w:asciiTheme="majorBidi" w:hAnsiTheme="majorBidi" w:cstheme="majorBidi"/>
          <w:bCs/>
        </w:rPr>
        <w:t>Ability to work with teams under pressure, manage field risks, meet deadlines, and produce high-quality deliverables.</w:t>
      </w:r>
    </w:p>
    <w:p w14:paraId="09C78917" w14:textId="77777777" w:rsidR="00613641" w:rsidRPr="0019678F" w:rsidRDefault="00613641" w:rsidP="0019678F">
      <w:pPr>
        <w:spacing w:after="0" w:line="360" w:lineRule="auto"/>
        <w:rPr>
          <w:rFonts w:asciiTheme="majorBidi" w:hAnsiTheme="majorBidi" w:cstheme="majorBidi"/>
          <w:bCs/>
        </w:rPr>
      </w:pPr>
      <w:r w:rsidRPr="0019678F">
        <w:rPr>
          <w:rFonts w:asciiTheme="majorBidi" w:hAnsiTheme="majorBidi" w:cstheme="majorBidi"/>
          <w:bCs/>
        </w:rPr>
        <w:t>To apply for this study, applicants are expected to share the following documents:</w:t>
      </w:r>
    </w:p>
    <w:p w14:paraId="46E2F219" w14:textId="5EEC4B4B" w:rsidR="00613641" w:rsidRPr="0019678F" w:rsidRDefault="00613641" w:rsidP="0019678F">
      <w:pPr>
        <w:pStyle w:val="ListParagraph"/>
        <w:numPr>
          <w:ilvl w:val="0"/>
          <w:numId w:val="46"/>
        </w:numPr>
        <w:spacing w:after="0" w:line="360" w:lineRule="auto"/>
        <w:rPr>
          <w:rFonts w:asciiTheme="majorBidi" w:hAnsiTheme="majorBidi" w:cstheme="majorBidi"/>
          <w:bCs/>
        </w:rPr>
      </w:pPr>
      <w:r w:rsidRPr="0019678F">
        <w:rPr>
          <w:rFonts w:asciiTheme="majorBidi" w:hAnsiTheme="majorBidi" w:cstheme="majorBidi"/>
          <w:bCs/>
        </w:rPr>
        <w:t>A brief, 4-page proposal showing understanding of the assignment and how the work will be conducted.</w:t>
      </w:r>
    </w:p>
    <w:p w14:paraId="0B6E9282" w14:textId="760C3C91" w:rsidR="00613641" w:rsidRPr="0019678F" w:rsidRDefault="00613641" w:rsidP="0019678F">
      <w:pPr>
        <w:pStyle w:val="ListParagraph"/>
        <w:numPr>
          <w:ilvl w:val="0"/>
          <w:numId w:val="46"/>
        </w:numPr>
        <w:spacing w:after="0" w:line="360" w:lineRule="auto"/>
        <w:rPr>
          <w:rFonts w:asciiTheme="majorBidi" w:hAnsiTheme="majorBidi" w:cstheme="majorBidi"/>
          <w:bCs/>
        </w:rPr>
      </w:pPr>
      <w:r w:rsidRPr="0019678F">
        <w:rPr>
          <w:rFonts w:asciiTheme="majorBidi" w:hAnsiTheme="majorBidi" w:cstheme="majorBidi"/>
          <w:bCs/>
        </w:rPr>
        <w:t>A budget in USD covering data collection, data analysis, reporting, validation and dissemination.</w:t>
      </w:r>
    </w:p>
    <w:p w14:paraId="2BF74E82" w14:textId="18D0E8C3" w:rsidR="00613641" w:rsidRPr="0019678F" w:rsidRDefault="00613641" w:rsidP="0019678F">
      <w:pPr>
        <w:pStyle w:val="ListParagraph"/>
        <w:numPr>
          <w:ilvl w:val="0"/>
          <w:numId w:val="46"/>
        </w:numPr>
        <w:spacing w:after="0" w:line="360" w:lineRule="auto"/>
        <w:rPr>
          <w:rFonts w:asciiTheme="majorBidi" w:hAnsiTheme="majorBidi" w:cstheme="majorBidi"/>
          <w:bCs/>
        </w:rPr>
      </w:pPr>
      <w:r w:rsidRPr="0019678F">
        <w:rPr>
          <w:rFonts w:asciiTheme="majorBidi" w:hAnsiTheme="majorBidi" w:cstheme="majorBidi"/>
          <w:bCs/>
        </w:rPr>
        <w:t>Up-to-date organizational/individual consultant CVs.</w:t>
      </w:r>
    </w:p>
    <w:p w14:paraId="498B9D6E" w14:textId="0555CED0" w:rsidR="00613641" w:rsidRPr="0019678F" w:rsidRDefault="00613641" w:rsidP="0019678F">
      <w:pPr>
        <w:pStyle w:val="ListParagraph"/>
        <w:numPr>
          <w:ilvl w:val="0"/>
          <w:numId w:val="46"/>
        </w:numPr>
        <w:spacing w:after="0" w:line="360" w:lineRule="auto"/>
        <w:rPr>
          <w:rFonts w:asciiTheme="majorBidi" w:hAnsiTheme="majorBidi" w:cstheme="majorBidi"/>
          <w:bCs/>
        </w:rPr>
      </w:pPr>
      <w:r w:rsidRPr="0019678F">
        <w:rPr>
          <w:rFonts w:asciiTheme="majorBidi" w:hAnsiTheme="majorBidi" w:cstheme="majorBidi"/>
          <w:bCs/>
        </w:rPr>
        <w:t>Cover letter.</w:t>
      </w:r>
    </w:p>
    <w:p w14:paraId="0C235463" w14:textId="37C0FB7D" w:rsidR="00613641" w:rsidRPr="0019678F" w:rsidRDefault="00613641" w:rsidP="0019678F">
      <w:pPr>
        <w:pStyle w:val="ListParagraph"/>
        <w:numPr>
          <w:ilvl w:val="0"/>
          <w:numId w:val="46"/>
        </w:numPr>
        <w:spacing w:after="0" w:line="360" w:lineRule="auto"/>
        <w:rPr>
          <w:rFonts w:asciiTheme="majorBidi" w:hAnsiTheme="majorBidi" w:cstheme="majorBidi"/>
          <w:bCs/>
        </w:rPr>
      </w:pPr>
      <w:r w:rsidRPr="0019678F">
        <w:rPr>
          <w:rFonts w:asciiTheme="majorBidi" w:hAnsiTheme="majorBidi" w:cstheme="majorBidi"/>
          <w:bCs/>
        </w:rPr>
        <w:t>Traceable and contactable referees.</w:t>
      </w:r>
    </w:p>
    <w:p w14:paraId="4269221F" w14:textId="69ECA7D5" w:rsidR="00613641" w:rsidRPr="0019678F" w:rsidRDefault="00613641" w:rsidP="0019678F">
      <w:pPr>
        <w:pStyle w:val="ListParagraph"/>
        <w:numPr>
          <w:ilvl w:val="0"/>
          <w:numId w:val="46"/>
        </w:numPr>
        <w:spacing w:after="0" w:line="360" w:lineRule="auto"/>
        <w:rPr>
          <w:rFonts w:asciiTheme="majorBidi" w:hAnsiTheme="majorBidi" w:cstheme="majorBidi"/>
          <w:bCs/>
        </w:rPr>
      </w:pPr>
      <w:r w:rsidRPr="0019678F">
        <w:rPr>
          <w:rFonts w:asciiTheme="majorBidi" w:hAnsiTheme="majorBidi" w:cstheme="majorBidi"/>
          <w:bCs/>
        </w:rPr>
        <w:t>Two relevant sample reports or links to websites where reports can be retrieved; all samples will be kept confidential.</w:t>
      </w:r>
    </w:p>
    <w:p w14:paraId="564ED607" w14:textId="77777777" w:rsidR="00613641" w:rsidRPr="00613641" w:rsidRDefault="00613641" w:rsidP="00613641">
      <w:pPr>
        <w:spacing w:after="0" w:line="360" w:lineRule="auto"/>
        <w:rPr>
          <w:rFonts w:asciiTheme="majorBidi" w:hAnsiTheme="majorBidi" w:cstheme="majorBidi"/>
          <w:b/>
        </w:rPr>
      </w:pPr>
      <w:r w:rsidRPr="00613641">
        <w:rPr>
          <w:rFonts w:asciiTheme="majorBidi" w:hAnsiTheme="majorBidi" w:cstheme="majorBidi"/>
          <w:b/>
        </w:rPr>
        <w:t>Days</w:t>
      </w:r>
    </w:p>
    <w:p w14:paraId="33E51BE8" w14:textId="0EE7A863" w:rsidR="008567B1" w:rsidRPr="0019678F" w:rsidRDefault="00613641" w:rsidP="00613641">
      <w:pPr>
        <w:spacing w:after="0" w:line="360" w:lineRule="auto"/>
        <w:rPr>
          <w:rFonts w:asciiTheme="majorBidi" w:hAnsiTheme="majorBidi" w:cstheme="majorBidi"/>
          <w:bCs/>
        </w:rPr>
      </w:pPr>
      <w:r w:rsidRPr="0019678F">
        <w:rPr>
          <w:rFonts w:asciiTheme="majorBidi" w:hAnsiTheme="majorBidi" w:cstheme="majorBidi"/>
          <w:bCs/>
        </w:rPr>
        <w:t xml:space="preserve">The data analysis and report writing are expected to take </w:t>
      </w:r>
      <w:r w:rsidR="0033391E">
        <w:rPr>
          <w:rFonts w:asciiTheme="majorBidi" w:hAnsiTheme="majorBidi" w:cstheme="majorBidi"/>
          <w:bCs/>
        </w:rPr>
        <w:t>7</w:t>
      </w:r>
      <w:r w:rsidRPr="0019678F">
        <w:rPr>
          <w:rFonts w:asciiTheme="majorBidi" w:hAnsiTheme="majorBidi" w:cstheme="majorBidi"/>
          <w:bCs/>
        </w:rPr>
        <w:t xml:space="preserve"> days including weekends.</w:t>
      </w:r>
    </w:p>
    <w:p w14:paraId="11590157" w14:textId="77777777" w:rsidR="008567B1" w:rsidRDefault="008567B1" w:rsidP="00592BAC">
      <w:pPr>
        <w:spacing w:after="0" w:line="360" w:lineRule="auto"/>
        <w:jc w:val="both"/>
        <w:rPr>
          <w:rFonts w:asciiTheme="majorBidi" w:hAnsiTheme="majorBidi" w:cstheme="majorBidi"/>
          <w:b/>
        </w:rPr>
      </w:pPr>
    </w:p>
    <w:p w14:paraId="45694B76" w14:textId="456D1886" w:rsidR="00592BAC" w:rsidRPr="00592BAC" w:rsidRDefault="00592BAC" w:rsidP="00592BAC">
      <w:pPr>
        <w:spacing w:after="0" w:line="360" w:lineRule="auto"/>
        <w:jc w:val="both"/>
        <w:rPr>
          <w:rFonts w:asciiTheme="majorBidi" w:hAnsiTheme="majorBidi" w:cstheme="majorBidi"/>
          <w:b/>
        </w:rPr>
      </w:pPr>
      <w:r w:rsidRPr="00592BAC">
        <w:rPr>
          <w:rFonts w:asciiTheme="majorBidi" w:hAnsiTheme="majorBidi" w:cstheme="majorBidi"/>
          <w:b/>
        </w:rPr>
        <w:t>Payment Schedule</w:t>
      </w:r>
    </w:p>
    <w:p w14:paraId="7380D018" w14:textId="27D9E2E0" w:rsidR="00592BAC" w:rsidRPr="00592BAC" w:rsidRDefault="00592BAC" w:rsidP="00592BAC">
      <w:pPr>
        <w:spacing w:after="0" w:line="360" w:lineRule="auto"/>
        <w:jc w:val="both"/>
        <w:rPr>
          <w:rFonts w:asciiTheme="majorBidi" w:hAnsiTheme="majorBidi" w:cstheme="majorBidi"/>
        </w:rPr>
      </w:pPr>
      <w:r w:rsidRPr="009F70EA">
        <w:rPr>
          <w:rFonts w:asciiTheme="majorBidi" w:hAnsiTheme="majorBidi" w:cstheme="majorBidi"/>
        </w:rPr>
        <w:t xml:space="preserve">The payment shall be </w:t>
      </w:r>
      <w:r w:rsidR="009F70EA" w:rsidRPr="009F70EA">
        <w:rPr>
          <w:rFonts w:asciiTheme="majorBidi" w:hAnsiTheme="majorBidi" w:cstheme="majorBidi"/>
          <w:b/>
        </w:rPr>
        <w:t>33</w:t>
      </w:r>
      <w:r w:rsidRPr="009F70EA">
        <w:rPr>
          <w:rFonts w:asciiTheme="majorBidi" w:hAnsiTheme="majorBidi" w:cstheme="majorBidi"/>
          <w:b/>
        </w:rPr>
        <w:t>%</w:t>
      </w:r>
      <w:r w:rsidRPr="00592BAC">
        <w:rPr>
          <w:rFonts w:asciiTheme="majorBidi" w:hAnsiTheme="majorBidi" w:cstheme="majorBidi"/>
        </w:rPr>
        <w:t xml:space="preserve"> upon submission of </w:t>
      </w:r>
      <w:r w:rsidR="009F70EA">
        <w:rPr>
          <w:rFonts w:asciiTheme="majorBidi" w:hAnsiTheme="majorBidi" w:cstheme="majorBidi"/>
        </w:rPr>
        <w:t xml:space="preserve">Inception Report and Tools, </w:t>
      </w:r>
      <w:r w:rsidR="009F70EA" w:rsidRPr="00AC030A">
        <w:rPr>
          <w:rFonts w:asciiTheme="majorBidi" w:hAnsiTheme="majorBidi" w:cstheme="majorBidi"/>
          <w:b/>
          <w:bCs/>
        </w:rPr>
        <w:t>33%</w:t>
      </w:r>
      <w:r w:rsidR="009F70EA">
        <w:rPr>
          <w:rFonts w:asciiTheme="majorBidi" w:hAnsiTheme="majorBidi" w:cstheme="majorBidi"/>
        </w:rPr>
        <w:t xml:space="preserve"> upon submission of satisfactory Draft report, and </w:t>
      </w:r>
      <w:r w:rsidR="009F70EA">
        <w:rPr>
          <w:rFonts w:asciiTheme="majorBidi" w:hAnsiTheme="majorBidi" w:cstheme="majorBidi"/>
          <w:b/>
        </w:rPr>
        <w:t>33</w:t>
      </w:r>
      <w:r w:rsidRPr="00592BAC">
        <w:rPr>
          <w:rFonts w:asciiTheme="majorBidi" w:hAnsiTheme="majorBidi" w:cstheme="majorBidi"/>
          <w:b/>
        </w:rPr>
        <w:t>%</w:t>
      </w:r>
      <w:r w:rsidRPr="00592BAC">
        <w:rPr>
          <w:rFonts w:asciiTheme="majorBidi" w:hAnsiTheme="majorBidi" w:cstheme="majorBidi"/>
        </w:rPr>
        <w:t xml:space="preserve"> upon submission of a satisfactory final report. Preference will be given to Sudanese nationals/consultants.</w:t>
      </w:r>
      <w:r w:rsidRPr="00592BAC">
        <w:rPr>
          <w:rFonts w:asciiTheme="majorBidi" w:hAnsiTheme="majorBidi" w:cstheme="majorBidi"/>
          <w:b/>
          <w:bCs/>
        </w:rPr>
        <w:t xml:space="preserve"> </w:t>
      </w:r>
    </w:p>
    <w:p w14:paraId="2FBC2DF1" w14:textId="77777777" w:rsidR="00592BAC" w:rsidRPr="00592BAC" w:rsidRDefault="00592BAC" w:rsidP="00592BAC">
      <w:pPr>
        <w:shd w:val="clear" w:color="auto" w:fill="FFFFFF"/>
        <w:spacing w:after="0" w:line="360" w:lineRule="auto"/>
        <w:jc w:val="both"/>
        <w:rPr>
          <w:rStyle w:val="Strong"/>
          <w:rFonts w:asciiTheme="majorBidi" w:hAnsiTheme="majorBidi" w:cstheme="majorBidi"/>
          <w:u w:val="single"/>
        </w:rPr>
      </w:pPr>
    </w:p>
    <w:p w14:paraId="613B4EE4" w14:textId="77777777" w:rsidR="00592BAC" w:rsidRPr="00592BAC" w:rsidRDefault="00592BAC" w:rsidP="00592BAC">
      <w:pPr>
        <w:shd w:val="clear" w:color="auto" w:fill="FFFFFF"/>
        <w:spacing w:after="0" w:line="360" w:lineRule="auto"/>
        <w:jc w:val="both"/>
        <w:rPr>
          <w:rFonts w:asciiTheme="majorBidi" w:hAnsiTheme="majorBidi" w:cstheme="majorBidi"/>
        </w:rPr>
      </w:pPr>
      <w:r w:rsidRPr="00592BAC">
        <w:rPr>
          <w:rStyle w:val="Strong"/>
          <w:rFonts w:asciiTheme="majorBidi" w:hAnsiTheme="majorBidi" w:cstheme="majorBidi"/>
          <w:u w:val="single"/>
        </w:rPr>
        <w:t>APPLICATION PROCEDURES</w:t>
      </w:r>
    </w:p>
    <w:p w14:paraId="3B4E6096" w14:textId="77777777" w:rsidR="00592BAC" w:rsidRPr="00592BAC" w:rsidRDefault="00592BAC" w:rsidP="00592BAC">
      <w:pPr>
        <w:spacing w:after="0" w:line="360" w:lineRule="auto"/>
        <w:jc w:val="both"/>
        <w:rPr>
          <w:rFonts w:asciiTheme="majorBidi" w:hAnsiTheme="majorBidi" w:cstheme="majorBidi"/>
        </w:rPr>
      </w:pPr>
      <w:r w:rsidRPr="00592BAC">
        <w:rPr>
          <w:rFonts w:asciiTheme="majorBidi" w:hAnsiTheme="majorBidi" w:cstheme="majorBidi"/>
        </w:rPr>
        <w:t xml:space="preserve">The offer, comprising of a Technical and Financial Proposal, should be submitted and addressed as follows: Sudan CO procurement </w:t>
      </w:r>
      <w:hyperlink r:id="rId7" w:history="1">
        <w:r w:rsidRPr="00592BAC">
          <w:rPr>
            <w:rStyle w:val="Hyperlink"/>
            <w:rFonts w:asciiTheme="majorBidi" w:hAnsiTheme="majorBidi" w:cstheme="majorBidi"/>
            <w:color w:val="auto"/>
          </w:rPr>
          <w:t>SudanCO.procurement@savethechildren.org</w:t>
        </w:r>
      </w:hyperlink>
      <w:r w:rsidRPr="00592BAC">
        <w:rPr>
          <w:rFonts w:asciiTheme="majorBidi" w:hAnsiTheme="majorBidi" w:cstheme="majorBidi"/>
        </w:rPr>
        <w:t xml:space="preserve">. For any question/query relating to the proposal, please email </w:t>
      </w:r>
      <w:hyperlink r:id="rId8" w:history="1">
        <w:r w:rsidRPr="00592BAC">
          <w:rPr>
            <w:rStyle w:val="Hyperlink"/>
            <w:rFonts w:asciiTheme="majorBidi" w:hAnsiTheme="majorBidi" w:cstheme="majorBidi"/>
            <w:color w:val="auto"/>
          </w:rPr>
          <w:t>janet.mugo@savethechildren.org</w:t>
        </w:r>
      </w:hyperlink>
      <w:r w:rsidRPr="00592BAC">
        <w:rPr>
          <w:rFonts w:asciiTheme="majorBidi" w:hAnsiTheme="majorBidi" w:cstheme="majorBidi"/>
        </w:rPr>
        <w:t>.</w:t>
      </w:r>
    </w:p>
    <w:p w14:paraId="48DC3993" w14:textId="77777777" w:rsidR="00592BAC" w:rsidRPr="00341D3C" w:rsidRDefault="00592BAC" w:rsidP="00592BAC">
      <w:pPr>
        <w:spacing w:after="0" w:line="360" w:lineRule="auto"/>
        <w:jc w:val="both"/>
        <w:rPr>
          <w:rFonts w:ascii="Calibri" w:hAnsi="Calibri" w:cs="Calibri"/>
          <w:sz w:val="20"/>
          <w:szCs w:val="20"/>
        </w:rPr>
      </w:pPr>
    </w:p>
    <w:p w14:paraId="4399A97F" w14:textId="77777777" w:rsidR="00592BAC" w:rsidRPr="007C7CDD" w:rsidRDefault="00592BAC" w:rsidP="00592BAC">
      <w:pPr>
        <w:spacing w:after="0" w:line="360" w:lineRule="auto"/>
        <w:jc w:val="both"/>
        <w:rPr>
          <w:rFonts w:ascii="Calibri" w:eastAsia="Times New Roman" w:hAnsi="Calibri" w:cs="Calibri"/>
        </w:rPr>
      </w:pPr>
    </w:p>
    <w:p w14:paraId="321185BA" w14:textId="77777777" w:rsidR="000114A2" w:rsidRPr="006644F1" w:rsidRDefault="000114A2" w:rsidP="00F50D3E">
      <w:pPr>
        <w:spacing w:before="100" w:beforeAutospacing="1" w:after="100" w:afterAutospacing="1" w:line="240" w:lineRule="auto"/>
        <w:jc w:val="both"/>
        <w:rPr>
          <w:rFonts w:ascii="Times New Roman" w:eastAsia="Times New Roman" w:hAnsi="Times New Roman" w:cs="Times New Roman"/>
          <w:kern w:val="0"/>
          <w14:ligatures w14:val="none"/>
        </w:rPr>
      </w:pPr>
    </w:p>
    <w:sectPr w:rsidR="000114A2" w:rsidRPr="006644F1" w:rsidSect="006644F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79D7" w14:textId="77777777" w:rsidR="003A43BF" w:rsidRDefault="003A43BF" w:rsidP="007B54C4">
      <w:pPr>
        <w:spacing w:after="0" w:line="240" w:lineRule="auto"/>
      </w:pPr>
      <w:r>
        <w:separator/>
      </w:r>
    </w:p>
  </w:endnote>
  <w:endnote w:type="continuationSeparator" w:id="0">
    <w:p w14:paraId="4DD368F2" w14:textId="77777777" w:rsidR="003A43BF" w:rsidRDefault="003A43BF" w:rsidP="007B5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Infant Std">
    <w:altName w:val="Gill Sans MT"/>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16812"/>
      <w:docPartObj>
        <w:docPartGallery w:val="Page Numbers (Bottom of Page)"/>
        <w:docPartUnique/>
      </w:docPartObj>
    </w:sdtPr>
    <w:sdtEndPr>
      <w:rPr>
        <w:noProof/>
      </w:rPr>
    </w:sdtEndPr>
    <w:sdtContent>
      <w:p w14:paraId="35061F4E" w14:textId="2AE180AC" w:rsidR="007B54C4" w:rsidRDefault="007B54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B748FE" w14:textId="445CBE87" w:rsidR="007B54C4" w:rsidRDefault="007B5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AE65" w14:textId="77777777" w:rsidR="003A43BF" w:rsidRDefault="003A43BF" w:rsidP="007B54C4">
      <w:pPr>
        <w:spacing w:after="0" w:line="240" w:lineRule="auto"/>
      </w:pPr>
      <w:r>
        <w:separator/>
      </w:r>
    </w:p>
  </w:footnote>
  <w:footnote w:type="continuationSeparator" w:id="0">
    <w:p w14:paraId="5F18307A" w14:textId="77777777" w:rsidR="003A43BF" w:rsidRDefault="003A43BF" w:rsidP="007B5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B528" w14:textId="46C34947" w:rsidR="004A2DEB" w:rsidRDefault="004A2DEB">
    <w:pPr>
      <w:pStyle w:val="Header"/>
    </w:pPr>
    <w:r w:rsidRPr="004A2DEB">
      <w:rPr>
        <w:rFonts w:ascii="Calibri" w:eastAsia="Calibri" w:hAnsi="Calibri" w:cs="Arial"/>
        <w:noProof/>
        <w:kern w:val="0"/>
        <w:sz w:val="22"/>
        <w:szCs w:val="22"/>
        <w:lang w:eastAsia="en-GB"/>
        <w14:ligatures w14:val="none"/>
      </w:rPr>
      <w:drawing>
        <wp:inline distT="0" distB="0" distL="0" distR="0" wp14:anchorId="4CDF12E4" wp14:editId="24E49676">
          <wp:extent cx="1962443" cy="418830"/>
          <wp:effectExtent l="0" t="0" r="0" b="635"/>
          <wp:docPr id="508858344" name="Picture 50885834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58344" name="Picture 508858344" descr="A black text on a white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4667" cy="423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4E4"/>
    <w:multiLevelType w:val="hybridMultilevel"/>
    <w:tmpl w:val="9AA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9681D"/>
    <w:multiLevelType w:val="hybridMultilevel"/>
    <w:tmpl w:val="BF0A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65A3E"/>
    <w:multiLevelType w:val="hybridMultilevel"/>
    <w:tmpl w:val="7F7074F6"/>
    <w:lvl w:ilvl="0" w:tplc="2806B09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651EB"/>
    <w:multiLevelType w:val="hybridMultilevel"/>
    <w:tmpl w:val="EFE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B0740"/>
    <w:multiLevelType w:val="hybridMultilevel"/>
    <w:tmpl w:val="88D26E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BE3ACC"/>
    <w:multiLevelType w:val="hybridMultilevel"/>
    <w:tmpl w:val="CFD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62938"/>
    <w:multiLevelType w:val="hybridMultilevel"/>
    <w:tmpl w:val="E602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537EF"/>
    <w:multiLevelType w:val="hybridMultilevel"/>
    <w:tmpl w:val="382C5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B0D27"/>
    <w:multiLevelType w:val="hybridMultilevel"/>
    <w:tmpl w:val="92EA9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716CF"/>
    <w:multiLevelType w:val="hybridMultilevel"/>
    <w:tmpl w:val="9DCAE8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716A9"/>
    <w:multiLevelType w:val="hybridMultilevel"/>
    <w:tmpl w:val="23781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1443E"/>
    <w:multiLevelType w:val="hybridMultilevel"/>
    <w:tmpl w:val="6B02B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3070F"/>
    <w:multiLevelType w:val="hybridMultilevel"/>
    <w:tmpl w:val="E8F6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72B44"/>
    <w:multiLevelType w:val="hybridMultilevel"/>
    <w:tmpl w:val="11E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D471D"/>
    <w:multiLevelType w:val="hybridMultilevel"/>
    <w:tmpl w:val="210C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C91854"/>
    <w:multiLevelType w:val="hybridMultilevel"/>
    <w:tmpl w:val="0FC8B7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22BB2"/>
    <w:multiLevelType w:val="hybridMultilevel"/>
    <w:tmpl w:val="33BC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5477FC"/>
    <w:multiLevelType w:val="hybridMultilevel"/>
    <w:tmpl w:val="A680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F06B1"/>
    <w:multiLevelType w:val="multilevel"/>
    <w:tmpl w:val="E176131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8B1A00"/>
    <w:multiLevelType w:val="multilevel"/>
    <w:tmpl w:val="033EDB3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8850635"/>
    <w:multiLevelType w:val="hybridMultilevel"/>
    <w:tmpl w:val="BF44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16558"/>
    <w:multiLevelType w:val="hybridMultilevel"/>
    <w:tmpl w:val="46824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86BCA"/>
    <w:multiLevelType w:val="hybridMultilevel"/>
    <w:tmpl w:val="F0CAF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547B2C"/>
    <w:multiLevelType w:val="hybridMultilevel"/>
    <w:tmpl w:val="2892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0364EC"/>
    <w:multiLevelType w:val="hybridMultilevel"/>
    <w:tmpl w:val="D7AA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84FBA"/>
    <w:multiLevelType w:val="hybridMultilevel"/>
    <w:tmpl w:val="C0202E22"/>
    <w:lvl w:ilvl="0" w:tplc="2340B292">
      <w:start w:val="1"/>
      <w:numFmt w:val="bullet"/>
      <w:lvlText w:val="-"/>
      <w:lvlJc w:val="left"/>
      <w:pPr>
        <w:ind w:left="1080" w:hanging="720"/>
      </w:pPr>
      <w:rPr>
        <w:rFonts w:ascii="Gill Sans Infant Std" w:eastAsiaTheme="minorHAnsi" w:hAnsi="Gill Sans Infant Std" w:cs="Gill Sans Infant Std"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2E80FF5"/>
    <w:multiLevelType w:val="hybridMultilevel"/>
    <w:tmpl w:val="D72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DE4CD7"/>
    <w:multiLevelType w:val="hybridMultilevel"/>
    <w:tmpl w:val="2EEC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545FD4"/>
    <w:multiLevelType w:val="hybridMultilevel"/>
    <w:tmpl w:val="0E60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C85053"/>
    <w:multiLevelType w:val="hybridMultilevel"/>
    <w:tmpl w:val="7520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E93C5E"/>
    <w:multiLevelType w:val="hybridMultilevel"/>
    <w:tmpl w:val="1EAE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705D07"/>
    <w:multiLevelType w:val="hybridMultilevel"/>
    <w:tmpl w:val="AA76F618"/>
    <w:lvl w:ilvl="0" w:tplc="2B8AC46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8A763F"/>
    <w:multiLevelType w:val="multilevel"/>
    <w:tmpl w:val="F38CDE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0F3889"/>
    <w:multiLevelType w:val="hybridMultilevel"/>
    <w:tmpl w:val="4FBA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06BB5"/>
    <w:multiLevelType w:val="hybridMultilevel"/>
    <w:tmpl w:val="ABB26DDC"/>
    <w:lvl w:ilvl="0" w:tplc="2806B09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73112E"/>
    <w:multiLevelType w:val="hybridMultilevel"/>
    <w:tmpl w:val="78DAE036"/>
    <w:lvl w:ilvl="0" w:tplc="2806B09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B091C"/>
    <w:multiLevelType w:val="hybridMultilevel"/>
    <w:tmpl w:val="8B969FFE"/>
    <w:lvl w:ilvl="0" w:tplc="0BF2A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3A14D2"/>
    <w:multiLevelType w:val="hybridMultilevel"/>
    <w:tmpl w:val="C2FE3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4732E5"/>
    <w:multiLevelType w:val="hybridMultilevel"/>
    <w:tmpl w:val="8F288E2C"/>
    <w:lvl w:ilvl="0" w:tplc="2806B09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327E4"/>
    <w:multiLevelType w:val="hybridMultilevel"/>
    <w:tmpl w:val="F9DCF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E38B0"/>
    <w:multiLevelType w:val="hybridMultilevel"/>
    <w:tmpl w:val="003E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E11D81"/>
    <w:multiLevelType w:val="hybridMultilevel"/>
    <w:tmpl w:val="43BE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815B48"/>
    <w:multiLevelType w:val="hybridMultilevel"/>
    <w:tmpl w:val="543A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9F41E1"/>
    <w:multiLevelType w:val="hybridMultilevel"/>
    <w:tmpl w:val="EDA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D425D2"/>
    <w:multiLevelType w:val="hybridMultilevel"/>
    <w:tmpl w:val="3E80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202BA1"/>
    <w:multiLevelType w:val="hybridMultilevel"/>
    <w:tmpl w:val="0E2C2514"/>
    <w:lvl w:ilvl="0" w:tplc="2806B09C">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987925"/>
    <w:multiLevelType w:val="hybridMultilevel"/>
    <w:tmpl w:val="A6DCDC7C"/>
    <w:lvl w:ilvl="0" w:tplc="2340B292">
      <w:start w:val="1"/>
      <w:numFmt w:val="bullet"/>
      <w:lvlText w:val="-"/>
      <w:lvlJc w:val="left"/>
      <w:pPr>
        <w:ind w:left="1080" w:hanging="360"/>
      </w:pPr>
      <w:rPr>
        <w:rFonts w:ascii="Gill Sans Infant Std" w:eastAsiaTheme="minorHAnsi" w:hAnsi="Gill Sans Infant Std" w:cs="Gill Sans Infant St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5062875">
    <w:abstractNumId w:val="19"/>
  </w:num>
  <w:num w:numId="2" w16cid:durableId="1740471512">
    <w:abstractNumId w:val="15"/>
  </w:num>
  <w:num w:numId="3" w16cid:durableId="1701390507">
    <w:abstractNumId w:val="36"/>
  </w:num>
  <w:num w:numId="4" w16cid:durableId="1098061636">
    <w:abstractNumId w:val="22"/>
  </w:num>
  <w:num w:numId="5" w16cid:durableId="327709808">
    <w:abstractNumId w:val="26"/>
  </w:num>
  <w:num w:numId="6" w16cid:durableId="751969288">
    <w:abstractNumId w:val="3"/>
  </w:num>
  <w:num w:numId="7" w16cid:durableId="2103799106">
    <w:abstractNumId w:val="29"/>
  </w:num>
  <w:num w:numId="8" w16cid:durableId="603195497">
    <w:abstractNumId w:val="30"/>
  </w:num>
  <w:num w:numId="9" w16cid:durableId="1383945976">
    <w:abstractNumId w:val="10"/>
  </w:num>
  <w:num w:numId="10" w16cid:durableId="1410079232">
    <w:abstractNumId w:val="9"/>
  </w:num>
  <w:num w:numId="11" w16cid:durableId="1839611311">
    <w:abstractNumId w:val="11"/>
  </w:num>
  <w:num w:numId="12" w16cid:durableId="1507943467">
    <w:abstractNumId w:val="6"/>
  </w:num>
  <w:num w:numId="13" w16cid:durableId="480074113">
    <w:abstractNumId w:val="44"/>
  </w:num>
  <w:num w:numId="14" w16cid:durableId="758867767">
    <w:abstractNumId w:val="38"/>
  </w:num>
  <w:num w:numId="15" w16cid:durableId="425853263">
    <w:abstractNumId w:val="35"/>
  </w:num>
  <w:num w:numId="16" w16cid:durableId="621503193">
    <w:abstractNumId w:val="41"/>
  </w:num>
  <w:num w:numId="17" w16cid:durableId="2026007602">
    <w:abstractNumId w:val="45"/>
  </w:num>
  <w:num w:numId="18" w16cid:durableId="494303520">
    <w:abstractNumId w:val="2"/>
  </w:num>
  <w:num w:numId="19" w16cid:durableId="1407416230">
    <w:abstractNumId w:val="34"/>
  </w:num>
  <w:num w:numId="20" w16cid:durableId="1481850407">
    <w:abstractNumId w:val="8"/>
  </w:num>
  <w:num w:numId="21" w16cid:durableId="357892746">
    <w:abstractNumId w:val="7"/>
  </w:num>
  <w:num w:numId="22" w16cid:durableId="1037123550">
    <w:abstractNumId w:val="37"/>
  </w:num>
  <w:num w:numId="23" w16cid:durableId="1222836877">
    <w:abstractNumId w:val="43"/>
  </w:num>
  <w:num w:numId="24" w16cid:durableId="1137911610">
    <w:abstractNumId w:val="0"/>
  </w:num>
  <w:num w:numId="25" w16cid:durableId="2048407438">
    <w:abstractNumId w:val="18"/>
  </w:num>
  <w:num w:numId="26" w16cid:durableId="679158352">
    <w:abstractNumId w:val="31"/>
  </w:num>
  <w:num w:numId="27" w16cid:durableId="286401099">
    <w:abstractNumId w:val="23"/>
  </w:num>
  <w:num w:numId="28" w16cid:durableId="299119187">
    <w:abstractNumId w:val="27"/>
  </w:num>
  <w:num w:numId="29" w16cid:durableId="352269641">
    <w:abstractNumId w:val="39"/>
  </w:num>
  <w:num w:numId="30" w16cid:durableId="1277907001">
    <w:abstractNumId w:val="25"/>
  </w:num>
  <w:num w:numId="31" w16cid:durableId="1597252668">
    <w:abstractNumId w:val="46"/>
  </w:num>
  <w:num w:numId="32" w16cid:durableId="431242639">
    <w:abstractNumId w:val="32"/>
  </w:num>
  <w:num w:numId="33" w16cid:durableId="34238024">
    <w:abstractNumId w:val="4"/>
  </w:num>
  <w:num w:numId="34" w16cid:durableId="1835687268">
    <w:abstractNumId w:val="5"/>
  </w:num>
  <w:num w:numId="35" w16cid:durableId="191647823">
    <w:abstractNumId w:val="12"/>
  </w:num>
  <w:num w:numId="36" w16cid:durableId="106318555">
    <w:abstractNumId w:val="1"/>
  </w:num>
  <w:num w:numId="37" w16cid:durableId="1701589744">
    <w:abstractNumId w:val="33"/>
  </w:num>
  <w:num w:numId="38" w16cid:durableId="262416837">
    <w:abstractNumId w:val="14"/>
  </w:num>
  <w:num w:numId="39" w16cid:durableId="520238174">
    <w:abstractNumId w:val="17"/>
  </w:num>
  <w:num w:numId="40" w16cid:durableId="1863937295">
    <w:abstractNumId w:val="21"/>
  </w:num>
  <w:num w:numId="41" w16cid:durableId="174344983">
    <w:abstractNumId w:val="42"/>
  </w:num>
  <w:num w:numId="42" w16cid:durableId="26486397">
    <w:abstractNumId w:val="28"/>
  </w:num>
  <w:num w:numId="43" w16cid:durableId="338697028">
    <w:abstractNumId w:val="16"/>
  </w:num>
  <w:num w:numId="44" w16cid:durableId="461389315">
    <w:abstractNumId w:val="24"/>
  </w:num>
  <w:num w:numId="45" w16cid:durableId="1400247242">
    <w:abstractNumId w:val="40"/>
  </w:num>
  <w:num w:numId="46" w16cid:durableId="1522233395">
    <w:abstractNumId w:val="13"/>
  </w:num>
  <w:num w:numId="47" w16cid:durableId="97355730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29"/>
    <w:rsid w:val="000114A2"/>
    <w:rsid w:val="00014F61"/>
    <w:rsid w:val="0003025F"/>
    <w:rsid w:val="00076412"/>
    <w:rsid w:val="000F025C"/>
    <w:rsid w:val="00120572"/>
    <w:rsid w:val="00141EB9"/>
    <w:rsid w:val="0017268D"/>
    <w:rsid w:val="00190E90"/>
    <w:rsid w:val="0019678F"/>
    <w:rsid w:val="001C7160"/>
    <w:rsid w:val="001F4FDD"/>
    <w:rsid w:val="001F520F"/>
    <w:rsid w:val="0033391E"/>
    <w:rsid w:val="00342D6F"/>
    <w:rsid w:val="00377AA6"/>
    <w:rsid w:val="003A43BF"/>
    <w:rsid w:val="003F4FCE"/>
    <w:rsid w:val="0042469D"/>
    <w:rsid w:val="00463A6E"/>
    <w:rsid w:val="004712CA"/>
    <w:rsid w:val="004A2DEB"/>
    <w:rsid w:val="004B00E0"/>
    <w:rsid w:val="004D6AF3"/>
    <w:rsid w:val="0052189B"/>
    <w:rsid w:val="005429B6"/>
    <w:rsid w:val="00592BAC"/>
    <w:rsid w:val="00613641"/>
    <w:rsid w:val="00660209"/>
    <w:rsid w:val="006644F1"/>
    <w:rsid w:val="0069427E"/>
    <w:rsid w:val="00697A78"/>
    <w:rsid w:val="006C4B5D"/>
    <w:rsid w:val="00704CAA"/>
    <w:rsid w:val="00735CF1"/>
    <w:rsid w:val="00741C20"/>
    <w:rsid w:val="00773131"/>
    <w:rsid w:val="00794B93"/>
    <w:rsid w:val="007B54C4"/>
    <w:rsid w:val="007B7EB2"/>
    <w:rsid w:val="0084237E"/>
    <w:rsid w:val="008567B1"/>
    <w:rsid w:val="00861B21"/>
    <w:rsid w:val="008A6706"/>
    <w:rsid w:val="008C0A25"/>
    <w:rsid w:val="008D10BA"/>
    <w:rsid w:val="008D7BE2"/>
    <w:rsid w:val="008E7745"/>
    <w:rsid w:val="00902CAA"/>
    <w:rsid w:val="009D7629"/>
    <w:rsid w:val="009F70EA"/>
    <w:rsid w:val="00A075CD"/>
    <w:rsid w:val="00A35B73"/>
    <w:rsid w:val="00AB5D1A"/>
    <w:rsid w:val="00AC030A"/>
    <w:rsid w:val="00AD0823"/>
    <w:rsid w:val="00AE664A"/>
    <w:rsid w:val="00B438DB"/>
    <w:rsid w:val="00B57F37"/>
    <w:rsid w:val="00B86E8A"/>
    <w:rsid w:val="00B8712F"/>
    <w:rsid w:val="00B954F2"/>
    <w:rsid w:val="00BA38ED"/>
    <w:rsid w:val="00C05318"/>
    <w:rsid w:val="00C872B0"/>
    <w:rsid w:val="00C91FB9"/>
    <w:rsid w:val="00C92AC8"/>
    <w:rsid w:val="00CA1B1A"/>
    <w:rsid w:val="00CB08E4"/>
    <w:rsid w:val="00CC310D"/>
    <w:rsid w:val="00D0153D"/>
    <w:rsid w:val="00D07E8D"/>
    <w:rsid w:val="00D5155E"/>
    <w:rsid w:val="00D54EA9"/>
    <w:rsid w:val="00D773AB"/>
    <w:rsid w:val="00DC7D86"/>
    <w:rsid w:val="00E3654E"/>
    <w:rsid w:val="00E85AFC"/>
    <w:rsid w:val="00E93C29"/>
    <w:rsid w:val="00EC7BAB"/>
    <w:rsid w:val="00EC7BAE"/>
    <w:rsid w:val="00EE4AC1"/>
    <w:rsid w:val="00F50D3E"/>
    <w:rsid w:val="00F67ECA"/>
    <w:rsid w:val="00FF1FAD"/>
    <w:rsid w:val="00FF7A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DCE92"/>
  <w15:chartTrackingRefBased/>
  <w15:docId w15:val="{85CA21C8-6CF8-4DFC-87C7-8B667A81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76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D76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6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6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6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6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6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6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6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629"/>
    <w:rPr>
      <w:rFonts w:eastAsiaTheme="majorEastAsia" w:cstheme="majorBidi"/>
      <w:color w:val="272727" w:themeColor="text1" w:themeTint="D8"/>
    </w:rPr>
  </w:style>
  <w:style w:type="paragraph" w:styleId="Title">
    <w:name w:val="Title"/>
    <w:basedOn w:val="Normal"/>
    <w:next w:val="Normal"/>
    <w:link w:val="TitleChar"/>
    <w:uiPriority w:val="10"/>
    <w:qFormat/>
    <w:rsid w:val="009D76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6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629"/>
    <w:pPr>
      <w:spacing w:before="160"/>
      <w:jc w:val="center"/>
    </w:pPr>
    <w:rPr>
      <w:i/>
      <w:iCs/>
      <w:color w:val="404040" w:themeColor="text1" w:themeTint="BF"/>
    </w:rPr>
  </w:style>
  <w:style w:type="character" w:customStyle="1" w:styleId="QuoteChar">
    <w:name w:val="Quote Char"/>
    <w:basedOn w:val="DefaultParagraphFont"/>
    <w:link w:val="Quote"/>
    <w:uiPriority w:val="29"/>
    <w:rsid w:val="009D7629"/>
    <w:rPr>
      <w:i/>
      <w:iCs/>
      <w:color w:val="404040" w:themeColor="text1" w:themeTint="BF"/>
    </w:rPr>
  </w:style>
  <w:style w:type="paragraph" w:styleId="ListParagraph">
    <w:name w:val="List Paragraph"/>
    <w:aliases w:val="texte,Paragraphe 2,Recommendation,List Paragraph1,standard lewis"/>
    <w:basedOn w:val="Normal"/>
    <w:link w:val="ListParagraphChar"/>
    <w:uiPriority w:val="34"/>
    <w:qFormat/>
    <w:rsid w:val="009D7629"/>
    <w:pPr>
      <w:ind w:left="720"/>
      <w:contextualSpacing/>
    </w:pPr>
  </w:style>
  <w:style w:type="character" w:styleId="IntenseEmphasis">
    <w:name w:val="Intense Emphasis"/>
    <w:basedOn w:val="DefaultParagraphFont"/>
    <w:uiPriority w:val="21"/>
    <w:qFormat/>
    <w:rsid w:val="009D7629"/>
    <w:rPr>
      <w:i/>
      <w:iCs/>
      <w:color w:val="0F4761" w:themeColor="accent1" w:themeShade="BF"/>
    </w:rPr>
  </w:style>
  <w:style w:type="paragraph" w:styleId="IntenseQuote">
    <w:name w:val="Intense Quote"/>
    <w:basedOn w:val="Normal"/>
    <w:next w:val="Normal"/>
    <w:link w:val="IntenseQuoteChar"/>
    <w:uiPriority w:val="30"/>
    <w:qFormat/>
    <w:rsid w:val="009D76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629"/>
    <w:rPr>
      <w:i/>
      <w:iCs/>
      <w:color w:val="0F4761" w:themeColor="accent1" w:themeShade="BF"/>
    </w:rPr>
  </w:style>
  <w:style w:type="character" w:styleId="IntenseReference">
    <w:name w:val="Intense Reference"/>
    <w:basedOn w:val="DefaultParagraphFont"/>
    <w:uiPriority w:val="32"/>
    <w:qFormat/>
    <w:rsid w:val="009D7629"/>
    <w:rPr>
      <w:b/>
      <w:bCs/>
      <w:smallCaps/>
      <w:color w:val="0F4761" w:themeColor="accent1" w:themeShade="BF"/>
      <w:spacing w:val="5"/>
    </w:rPr>
  </w:style>
  <w:style w:type="table" w:customStyle="1" w:styleId="PlainTable21">
    <w:name w:val="Plain Table 21"/>
    <w:basedOn w:val="TableNormal"/>
    <w:next w:val="PlainTable2"/>
    <w:uiPriority w:val="42"/>
    <w:rsid w:val="00D5155E"/>
    <w:pPr>
      <w:spacing w:after="0" w:line="240" w:lineRule="auto"/>
    </w:pPr>
    <w:rPr>
      <w:kern w:val="0"/>
      <w:sz w:val="22"/>
      <w:szCs w:val="22"/>
      <w:lang w:val="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D5155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B954F2"/>
    <w:rPr>
      <w:sz w:val="16"/>
      <w:szCs w:val="16"/>
    </w:rPr>
  </w:style>
  <w:style w:type="paragraph" w:styleId="CommentText">
    <w:name w:val="annotation text"/>
    <w:basedOn w:val="Normal"/>
    <w:link w:val="CommentTextChar"/>
    <w:uiPriority w:val="99"/>
    <w:unhideWhenUsed/>
    <w:rsid w:val="00B954F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B954F2"/>
    <w:rPr>
      <w:kern w:val="0"/>
      <w:sz w:val="20"/>
      <w:szCs w:val="20"/>
      <w14:ligatures w14:val="none"/>
    </w:rPr>
  </w:style>
  <w:style w:type="table" w:styleId="TableGrid">
    <w:name w:val="Table Grid"/>
    <w:basedOn w:val="TableNormal"/>
    <w:uiPriority w:val="39"/>
    <w:rsid w:val="00D7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114A2"/>
    <w:pPr>
      <w:spacing w:after="0" w:line="240" w:lineRule="auto"/>
    </w:pPr>
    <w:rPr>
      <w:rFonts w:eastAsia="Times New Roman"/>
      <w:kern w:val="0"/>
      <w:sz w:val="22"/>
      <w:szCs w:val="22"/>
      <w14:ligatures w14:val="none"/>
    </w:rPr>
    <w:tblPr/>
  </w:style>
  <w:style w:type="paragraph" w:styleId="Header">
    <w:name w:val="header"/>
    <w:basedOn w:val="Normal"/>
    <w:link w:val="HeaderChar"/>
    <w:uiPriority w:val="99"/>
    <w:unhideWhenUsed/>
    <w:rsid w:val="007B5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4C4"/>
  </w:style>
  <w:style w:type="paragraph" w:styleId="Footer">
    <w:name w:val="footer"/>
    <w:basedOn w:val="Normal"/>
    <w:link w:val="FooterChar"/>
    <w:uiPriority w:val="99"/>
    <w:unhideWhenUsed/>
    <w:rsid w:val="007B5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4C4"/>
  </w:style>
  <w:style w:type="character" w:styleId="Hyperlink">
    <w:name w:val="Hyperlink"/>
    <w:basedOn w:val="DefaultParagraphFont"/>
    <w:uiPriority w:val="99"/>
    <w:unhideWhenUsed/>
    <w:rsid w:val="00592BAC"/>
    <w:rPr>
      <w:color w:val="0000FF"/>
      <w:u w:val="single"/>
    </w:rPr>
  </w:style>
  <w:style w:type="character" w:customStyle="1" w:styleId="ListParagraphChar">
    <w:name w:val="List Paragraph Char"/>
    <w:aliases w:val="texte Char,Paragraphe 2 Char,Recommendation Char,List Paragraph1 Char,standard lewis Char"/>
    <w:link w:val="ListParagraph"/>
    <w:uiPriority w:val="34"/>
    <w:locked/>
    <w:rsid w:val="00592BAC"/>
  </w:style>
  <w:style w:type="character" w:styleId="Strong">
    <w:name w:val="Strong"/>
    <w:basedOn w:val="DefaultParagraphFont"/>
    <w:uiPriority w:val="22"/>
    <w:qFormat/>
    <w:rsid w:val="00592BAC"/>
    <w:rPr>
      <w:b/>
      <w:bCs/>
    </w:rPr>
  </w:style>
  <w:style w:type="table" w:customStyle="1" w:styleId="TableGrid2">
    <w:name w:val="Table Grid2"/>
    <w:basedOn w:val="TableNormal"/>
    <w:next w:val="TableGrid"/>
    <w:uiPriority w:val="59"/>
    <w:rsid w:val="00613641"/>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1B1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04CAA"/>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93C29"/>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t.mugo@savethechildren.org" TargetMode="External"/><Relationship Id="rId3" Type="http://schemas.openxmlformats.org/officeDocument/2006/relationships/settings" Target="settings.xml"/><Relationship Id="rId7" Type="http://schemas.openxmlformats.org/officeDocument/2006/relationships/hyperlink" Target="mailto:SudanCO.procurement@savethechildre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43</TotalTime>
  <Pages>13</Pages>
  <Words>3361</Words>
  <Characters>19161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Abdelgayoum, Akram</dc:creator>
  <cp:keywords/>
  <dc:description/>
  <cp:lastModifiedBy>Isamaldeen, Mohammed</cp:lastModifiedBy>
  <cp:revision>29</cp:revision>
  <dcterms:created xsi:type="dcterms:W3CDTF">2026-05-07T11:25:00Z</dcterms:created>
  <dcterms:modified xsi:type="dcterms:W3CDTF">2026-05-19T09:02:00Z</dcterms:modified>
</cp:coreProperties>
</file>